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color w:val="auto"/>
          <w:sz w:val="72"/>
          <w:szCs w:val="72"/>
          <w:highlight w:val="none"/>
        </w:rPr>
      </w:pPr>
    </w:p>
    <w:p>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福建龙岩锦泰工贸有限责任公司</w:t>
      </w:r>
    </w:p>
    <w:p>
      <w:pPr>
        <w:spacing w:line="360" w:lineRule="auto"/>
        <w:jc w:val="center"/>
        <w:rPr>
          <w:rFonts w:ascii="宋体" w:hAnsi="宋体" w:cs="宋体"/>
          <w:b/>
          <w:color w:val="auto"/>
          <w:sz w:val="72"/>
          <w:szCs w:val="72"/>
          <w:highlight w:val="none"/>
        </w:rPr>
      </w:pPr>
      <w:r>
        <w:rPr>
          <w:rFonts w:hint="eastAsia" w:ascii="宋体" w:hAnsi="宋体" w:cs="宋体"/>
          <w:b/>
          <w:color w:val="auto"/>
          <w:sz w:val="52"/>
          <w:szCs w:val="52"/>
          <w:highlight w:val="none"/>
        </w:rPr>
        <w:t>网上竞价文件</w:t>
      </w:r>
    </w:p>
    <w:p>
      <w:pPr>
        <w:pStyle w:val="19"/>
        <w:rPr>
          <w:rFonts w:ascii="宋体" w:hAnsi="宋体" w:cs="宋体"/>
          <w:color w:val="auto"/>
          <w:highlight w:val="none"/>
        </w:rPr>
      </w:pPr>
    </w:p>
    <w:p>
      <w:pPr>
        <w:pStyle w:val="11"/>
        <w:spacing w:line="0" w:lineRule="atLeast"/>
        <w:rPr>
          <w:rFonts w:hAnsi="宋体" w:cs="宋体"/>
          <w:b/>
          <w:color w:val="auto"/>
          <w:sz w:val="32"/>
          <w:highlight w:val="none"/>
        </w:rPr>
      </w:pPr>
    </w:p>
    <w:p>
      <w:pPr>
        <w:pStyle w:val="11"/>
        <w:spacing w:line="0" w:lineRule="atLeast"/>
        <w:jc w:val="center"/>
        <w:rPr>
          <w:rFonts w:hAnsi="宋体" w:cs="宋体"/>
          <w:b/>
          <w:color w:val="auto"/>
          <w:sz w:val="36"/>
          <w:highlight w:val="none"/>
        </w:rPr>
      </w:pPr>
    </w:p>
    <w:p>
      <w:pPr>
        <w:pStyle w:val="11"/>
        <w:spacing w:line="0" w:lineRule="atLeast"/>
        <w:jc w:val="center"/>
        <w:rPr>
          <w:rFonts w:hAnsi="宋体" w:cs="宋体"/>
          <w:b/>
          <w:color w:val="auto"/>
          <w:sz w:val="36"/>
          <w:highlight w:val="none"/>
        </w:rPr>
      </w:pPr>
    </w:p>
    <w:p>
      <w:pPr>
        <w:pStyle w:val="11"/>
        <w:spacing w:line="0" w:lineRule="atLeast"/>
        <w:jc w:val="center"/>
        <w:rPr>
          <w:rFonts w:hAnsi="宋体" w:cs="宋体"/>
          <w:b/>
          <w:color w:val="auto"/>
          <w:sz w:val="36"/>
          <w:highlight w:val="none"/>
        </w:rPr>
      </w:pPr>
    </w:p>
    <w:p>
      <w:pPr>
        <w:pStyle w:val="11"/>
        <w:spacing w:line="400" w:lineRule="exact"/>
        <w:rPr>
          <w:rFonts w:hAnsi="宋体" w:cs="宋体"/>
          <w:b/>
          <w:color w:val="auto"/>
          <w:sz w:val="36"/>
          <w:highlight w:val="none"/>
        </w:rPr>
      </w:pPr>
    </w:p>
    <w:p>
      <w:pPr>
        <w:pStyle w:val="11"/>
        <w:spacing w:line="400" w:lineRule="exact"/>
        <w:rPr>
          <w:rFonts w:hAnsi="宋体" w:cs="宋体"/>
          <w:b/>
          <w:color w:val="auto"/>
          <w:sz w:val="36"/>
          <w:highlight w:val="none"/>
        </w:rPr>
      </w:pPr>
    </w:p>
    <w:p>
      <w:pPr>
        <w:pStyle w:val="11"/>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u w:val="single"/>
          <w:lang w:eastAsia="zh-CN"/>
        </w:rPr>
        <w:t>鑫达岩字招（2026）031号</w:t>
      </w:r>
    </w:p>
    <w:p>
      <w:pPr>
        <w:spacing w:line="360" w:lineRule="auto"/>
        <w:ind w:firstLine="643" w:firstLineChars="200"/>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u w:val="single"/>
          <w:lang w:eastAsia="zh-CN"/>
        </w:rPr>
        <w:t>福建龙岩锦泰工贸有限责任公司工业空调机采购项目</w:t>
      </w:r>
    </w:p>
    <w:p>
      <w:pPr>
        <w:pStyle w:val="11"/>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采</w:t>
      </w:r>
      <w:r>
        <w:rPr>
          <w:rFonts w:hAnsi="宋体" w:cs="宋体"/>
          <w:b/>
          <w:color w:val="auto"/>
          <w:sz w:val="32"/>
          <w:szCs w:val="32"/>
          <w:highlight w:val="none"/>
        </w:rPr>
        <w:t xml:space="preserve"> </w:t>
      </w:r>
      <w:r>
        <w:rPr>
          <w:rFonts w:hint="eastAsia" w:hAnsi="宋体" w:cs="宋体"/>
          <w:b/>
          <w:color w:val="auto"/>
          <w:sz w:val="32"/>
          <w:szCs w:val="32"/>
          <w:highlight w:val="none"/>
        </w:rPr>
        <w:t>购</w:t>
      </w:r>
      <w:r>
        <w:rPr>
          <w:rFonts w:hAnsi="宋体" w:cs="宋体"/>
          <w:b/>
          <w:color w:val="auto"/>
          <w:sz w:val="32"/>
          <w:szCs w:val="32"/>
          <w:highlight w:val="none"/>
        </w:rPr>
        <w:t xml:space="preserve"> </w:t>
      </w:r>
      <w:r>
        <w:rPr>
          <w:rFonts w:hint="eastAsia" w:hAnsi="宋体" w:cs="宋体"/>
          <w:b/>
          <w:color w:val="auto"/>
          <w:sz w:val="32"/>
          <w:szCs w:val="32"/>
          <w:highlight w:val="none"/>
        </w:rPr>
        <w:t>人：</w:t>
      </w:r>
      <w:r>
        <w:rPr>
          <w:rFonts w:hint="eastAsia" w:hAnsi="宋体" w:cs="宋体"/>
          <w:b/>
          <w:color w:val="auto"/>
          <w:sz w:val="32"/>
          <w:szCs w:val="32"/>
          <w:highlight w:val="none"/>
          <w:u w:val="single"/>
          <w:lang w:eastAsia="zh-CN"/>
        </w:rPr>
        <w:t>福建龙岩锦泰工贸有限责任公司</w:t>
      </w:r>
    </w:p>
    <w:p>
      <w:pPr>
        <w:spacing w:line="500" w:lineRule="exact"/>
        <w:rPr>
          <w:rFonts w:ascii="宋体" w:hAnsi="宋体" w:cs="宋体"/>
          <w:b/>
          <w:color w:val="auto"/>
          <w:sz w:val="48"/>
          <w:highlight w:val="none"/>
        </w:rPr>
      </w:pPr>
    </w:p>
    <w:p>
      <w:pPr>
        <w:pStyle w:val="5"/>
        <w:rPr>
          <w:rFonts w:hint="default" w:cs="宋体"/>
          <w:color w:val="auto"/>
          <w:sz w:val="48"/>
          <w:highlight w:val="none"/>
        </w:rPr>
      </w:pPr>
    </w:p>
    <w:p>
      <w:pPr>
        <w:rPr>
          <w:rFonts w:ascii="宋体" w:hAnsi="宋体" w:cs="宋体"/>
          <w:color w:val="auto"/>
          <w:highlight w:val="none"/>
        </w:rPr>
      </w:pPr>
    </w:p>
    <w:p>
      <w:pPr>
        <w:rPr>
          <w:rFonts w:ascii="宋体" w:hAnsi="宋体" w:cs="宋体"/>
          <w:color w:val="auto"/>
          <w:highlight w:val="none"/>
        </w:rPr>
      </w:pPr>
    </w:p>
    <w:p>
      <w:pPr>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龙岩市鑫达工程管理有限公司</w:t>
      </w:r>
    </w:p>
    <w:p>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二〇二六年</w:t>
      </w:r>
      <w:r>
        <w:rPr>
          <w:rFonts w:hint="eastAsia" w:ascii="宋体" w:hAnsi="宋体" w:cs="宋体"/>
          <w:b/>
          <w:color w:val="auto"/>
          <w:sz w:val="32"/>
          <w:szCs w:val="32"/>
          <w:highlight w:val="none"/>
          <w:lang w:val="en-US" w:eastAsia="zh-CN"/>
        </w:rPr>
        <w:t>四</w:t>
      </w:r>
      <w:r>
        <w:rPr>
          <w:rFonts w:hint="eastAsia" w:ascii="宋体" w:hAnsi="宋体" w:cs="宋体"/>
          <w:b/>
          <w:color w:val="auto"/>
          <w:sz w:val="32"/>
          <w:szCs w:val="32"/>
          <w:highlight w:val="none"/>
        </w:rPr>
        <w:t>月</w:t>
      </w:r>
    </w:p>
    <w:p>
      <w:pPr>
        <w:pStyle w:val="8"/>
        <w:rPr>
          <w:rFonts w:ascii="宋体" w:hAnsi="宋体" w:cs="宋体"/>
          <w:color w:val="auto"/>
          <w:highlight w:val="none"/>
        </w:rPr>
      </w:pPr>
    </w:p>
    <w:p>
      <w:pPr>
        <w:widowControl/>
        <w:spacing w:line="360" w:lineRule="auto"/>
        <w:ind w:firstLine="643" w:firstLineChars="200"/>
        <w:jc w:val="center"/>
        <w:rPr>
          <w:rFonts w:ascii="宋体" w:hAnsi="宋体" w:cs="宋体"/>
          <w:b/>
          <w:bCs/>
          <w:color w:val="auto"/>
          <w:kern w:val="0"/>
          <w:sz w:val="32"/>
          <w:szCs w:val="32"/>
          <w:highlight w:val="none"/>
        </w:rPr>
      </w:pPr>
    </w:p>
    <w:p>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w:t>
      </w:r>
      <w:r>
        <w:rPr>
          <w:rFonts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rPr>
        <w:t>网上竞价邀请</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龙岩市鑫达工程管理有限公司受</w:t>
      </w:r>
      <w:r>
        <w:rPr>
          <w:rFonts w:hint="eastAsia" w:ascii="宋体" w:hAnsi="宋体" w:cs="宋体"/>
          <w:color w:val="auto"/>
          <w:kern w:val="0"/>
          <w:sz w:val="24"/>
          <w:highlight w:val="none"/>
          <w:lang w:eastAsia="zh-CN"/>
        </w:rPr>
        <w:t>福建龙岩锦泰工贸有限责任公司</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福建龙岩锦泰工贸有限责任公司工业空调机采购项目</w:t>
      </w:r>
      <w:r>
        <w:rPr>
          <w:rFonts w:hint="eastAsia" w:ascii="宋体" w:hAnsi="宋体" w:cs="宋体"/>
          <w:color w:val="auto"/>
          <w:kern w:val="0"/>
          <w:sz w:val="24"/>
          <w:highlight w:val="none"/>
        </w:rPr>
        <w:t>的成交供应商。现邀请合格的供应商对</w:t>
      </w:r>
      <w:r>
        <w:rPr>
          <w:rFonts w:hint="eastAsia" w:ascii="宋体" w:hAnsi="宋体" w:cs="宋体"/>
          <w:color w:val="auto"/>
          <w:sz w:val="24"/>
          <w:highlight w:val="none"/>
        </w:rPr>
        <w:t>本项目进行网</w:t>
      </w:r>
      <w:r>
        <w:rPr>
          <w:rFonts w:hint="eastAsia" w:ascii="宋体" w:hAnsi="宋体" w:cs="宋体"/>
          <w:color w:val="auto"/>
          <w:kern w:val="0"/>
          <w:sz w:val="24"/>
          <w:highlight w:val="none"/>
        </w:rPr>
        <w:t>上竞价。</w:t>
      </w:r>
    </w:p>
    <w:p>
      <w:pPr>
        <w:widowControl/>
        <w:spacing w:line="360" w:lineRule="auto"/>
        <w:ind w:firstLine="482" w:firstLineChars="200"/>
        <w:jc w:val="left"/>
        <w:rPr>
          <w:rFonts w:hint="eastAsia" w:ascii="宋体" w:hAnsi="宋体" w:eastAsia="宋体" w:cs="宋体"/>
          <w:color w:val="auto"/>
          <w:sz w:val="24"/>
          <w:highlight w:val="none"/>
          <w:lang w:eastAsia="zh-CN"/>
        </w:rPr>
      </w:pPr>
      <w:r>
        <w:rPr>
          <w:rFonts w:ascii="宋体" w:hAnsi="宋体" w:cs="宋体"/>
          <w:b/>
          <w:bCs/>
          <w:color w:val="auto"/>
          <w:kern w:val="0"/>
          <w:sz w:val="24"/>
          <w:highlight w:val="none"/>
        </w:rPr>
        <w:t>1.项目编号：</w:t>
      </w:r>
      <w:r>
        <w:rPr>
          <w:rFonts w:hint="eastAsia" w:ascii="宋体" w:hAnsi="宋体" w:cs="宋体"/>
          <w:color w:val="auto"/>
          <w:kern w:val="0"/>
          <w:sz w:val="24"/>
          <w:highlight w:val="none"/>
          <w:lang w:eastAsia="zh-CN"/>
        </w:rPr>
        <w:t>鑫达岩字招（2026）031号</w:t>
      </w:r>
    </w:p>
    <w:p>
      <w:pPr>
        <w:widowControl/>
        <w:spacing w:line="360" w:lineRule="auto"/>
        <w:ind w:firstLine="482" w:firstLineChars="200"/>
        <w:jc w:val="left"/>
        <w:rPr>
          <w:rFonts w:hint="eastAsia" w:ascii="宋体" w:hAnsi="宋体" w:eastAsia="宋体" w:cs="宋体"/>
          <w:b/>
          <w:bCs/>
          <w:color w:val="auto"/>
          <w:sz w:val="24"/>
          <w:highlight w:val="none"/>
          <w:lang w:eastAsia="zh-CN"/>
        </w:rPr>
      </w:pPr>
      <w:r>
        <w:rPr>
          <w:rFonts w:ascii="宋体" w:hAnsi="宋体" w:cs="宋体"/>
          <w:b/>
          <w:bCs/>
          <w:color w:val="auto"/>
          <w:kern w:val="0"/>
          <w:sz w:val="24"/>
          <w:highlight w:val="none"/>
        </w:rPr>
        <w:t>2.项目名称：</w:t>
      </w:r>
      <w:r>
        <w:rPr>
          <w:rFonts w:hint="eastAsia" w:ascii="宋体" w:hAnsi="宋体" w:cs="宋体"/>
          <w:color w:val="auto"/>
          <w:kern w:val="0"/>
          <w:sz w:val="24"/>
          <w:highlight w:val="none"/>
          <w:lang w:eastAsia="zh-CN"/>
        </w:rPr>
        <w:t>福建龙岩锦泰工贸有限责任公司工业空调机采购项目</w:t>
      </w:r>
    </w:p>
    <w:p>
      <w:pPr>
        <w:widowControl/>
        <w:spacing w:line="360" w:lineRule="auto"/>
        <w:ind w:firstLine="482" w:firstLineChars="200"/>
        <w:jc w:val="left"/>
        <w:rPr>
          <w:rFonts w:ascii="宋体" w:hAnsi="宋体" w:cs="宋体"/>
          <w:b/>
          <w:color w:val="auto"/>
          <w:kern w:val="0"/>
          <w:sz w:val="24"/>
          <w:highlight w:val="none"/>
        </w:rPr>
      </w:pPr>
      <w:r>
        <w:rPr>
          <w:rFonts w:ascii="宋体" w:hAnsi="宋体" w:cs="宋体"/>
          <w:b/>
          <w:color w:val="auto"/>
          <w:sz w:val="24"/>
          <w:highlight w:val="none"/>
        </w:rPr>
        <w:t>3.网上竞价</w:t>
      </w:r>
      <w:r>
        <w:rPr>
          <w:rFonts w:hint="eastAsia" w:ascii="宋体" w:hAnsi="宋体" w:cs="宋体"/>
          <w:b/>
          <w:color w:val="auto"/>
          <w:sz w:val="24"/>
          <w:highlight w:val="none"/>
          <w:lang w:val="en-US" w:eastAsia="zh-CN"/>
        </w:rPr>
        <w:t>货物</w:t>
      </w:r>
      <w:r>
        <w:rPr>
          <w:rFonts w:ascii="宋体" w:hAnsi="宋体" w:cs="宋体"/>
          <w:b/>
          <w:color w:val="auto"/>
          <w:sz w:val="24"/>
          <w:highlight w:val="none"/>
        </w:rPr>
        <w:t>名称</w:t>
      </w:r>
      <w:r>
        <w:rPr>
          <w:rFonts w:hint="eastAsia" w:ascii="宋体" w:hAnsi="宋体" w:cs="宋体"/>
          <w:b/>
          <w:color w:val="auto"/>
          <w:sz w:val="24"/>
          <w:highlight w:val="none"/>
        </w:rPr>
        <w:t>、数量及主要技术规格售后服务要求等详见“第三章</w:t>
      </w:r>
      <w:r>
        <w:rPr>
          <w:rFonts w:ascii="宋体" w:hAnsi="宋体" w:cs="宋体"/>
          <w:b/>
          <w:color w:val="auto"/>
          <w:sz w:val="24"/>
          <w:highlight w:val="none"/>
        </w:rPr>
        <w:t xml:space="preserve"> </w:t>
      </w:r>
      <w:r>
        <w:rPr>
          <w:rFonts w:hint="eastAsia" w:ascii="宋体" w:hAnsi="宋体" w:cs="宋体"/>
          <w:b/>
          <w:color w:val="auto"/>
          <w:sz w:val="24"/>
          <w:highlight w:val="none"/>
        </w:rPr>
        <w:t>网上竞价内容及要求”</w:t>
      </w:r>
      <w:r>
        <w:rPr>
          <w:rFonts w:hint="eastAsia" w:ascii="宋体" w:hAnsi="宋体" w:cs="宋体"/>
          <w:b/>
          <w:color w:val="auto"/>
          <w:kern w:val="0"/>
          <w:sz w:val="24"/>
          <w:highlight w:val="none"/>
        </w:rPr>
        <w:t>。</w:t>
      </w:r>
    </w:p>
    <w:p>
      <w:pPr>
        <w:pStyle w:val="16"/>
        <w:spacing w:before="0" w:beforeAutospacing="0" w:after="0" w:afterAutospacing="0" w:line="360" w:lineRule="auto"/>
        <w:ind w:firstLine="480"/>
        <w:rPr>
          <w:b/>
          <w:bCs/>
          <w:color w:val="auto"/>
          <w:highlight w:val="none"/>
        </w:rPr>
      </w:pPr>
      <w:r>
        <w:rPr>
          <w:b/>
          <w:bCs/>
          <w:color w:val="auto"/>
          <w:highlight w:val="none"/>
        </w:rPr>
        <w:t>4.报名及竞价时间安排：</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04</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28</w:t>
      </w:r>
      <w:r>
        <w:rPr>
          <w:rFonts w:ascii="宋体" w:hAnsi="宋体" w:cs="宋体"/>
          <w:color w:val="auto"/>
          <w:kern w:val="0"/>
          <w:sz w:val="24"/>
          <w:highlight w:val="none"/>
        </w:rPr>
        <w:t>日 09:00:00</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05</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06</w:t>
      </w:r>
      <w:r>
        <w:rPr>
          <w:rFonts w:ascii="宋体" w:hAnsi="宋体" w:cs="宋体"/>
          <w:color w:val="auto"/>
          <w:kern w:val="0"/>
          <w:sz w:val="24"/>
          <w:highlight w:val="none"/>
        </w:rPr>
        <w:t>日 17:00:00</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05</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日 09:00:00</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05</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日 11:00:00</w:t>
      </w:r>
    </w:p>
    <w:p>
      <w:pPr>
        <w:spacing w:line="360" w:lineRule="auto"/>
        <w:ind w:firstLine="482" w:firstLineChars="200"/>
        <w:rPr>
          <w:rFonts w:ascii="宋体" w:hAnsi="宋体" w:cs="宋体"/>
          <w:b/>
          <w:bCs/>
          <w:color w:val="auto"/>
          <w:sz w:val="24"/>
          <w:highlight w:val="none"/>
        </w:rPr>
      </w:pPr>
      <w:bookmarkStart w:id="0" w:name="_Toc21403"/>
      <w:r>
        <w:rPr>
          <w:rFonts w:ascii="宋体" w:hAnsi="宋体" w:cs="宋体"/>
          <w:b/>
          <w:bCs/>
          <w:color w:val="auto"/>
          <w:sz w:val="24"/>
          <w:highlight w:val="none"/>
        </w:rPr>
        <w:t>5.供应商资格要求</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1）有能力提供</w:t>
      </w:r>
      <w:r>
        <w:rPr>
          <w:rFonts w:hint="eastAsia" w:ascii="宋体" w:hAnsi="宋体" w:eastAsia="宋体" w:cs="宋体"/>
          <w:color w:val="auto"/>
          <w:sz w:val="24"/>
          <w:highlight w:val="none"/>
        </w:rPr>
        <w:t>本网上竞价文件所述货物</w:t>
      </w:r>
      <w:r>
        <w:rPr>
          <w:rFonts w:hint="eastAsia" w:ascii="宋体" w:hAnsi="宋体" w:cs="宋体"/>
          <w:color w:val="auto"/>
          <w:sz w:val="24"/>
          <w:highlight w:val="none"/>
        </w:rPr>
        <w:t>的法人、事业单位及其他组织</w:t>
      </w:r>
      <w:r>
        <w:rPr>
          <w:rFonts w:hint="eastAsia" w:ascii="宋体" w:hAnsi="宋体" w:eastAsia="宋体" w:cs="宋体"/>
          <w:color w:val="auto"/>
          <w:sz w:val="24"/>
          <w:highlight w:val="none"/>
        </w:rPr>
        <w:t>均可能成为合格的供应商；</w:t>
      </w:r>
    </w:p>
    <w:p>
      <w:pPr>
        <w:pStyle w:val="24"/>
        <w:spacing w:line="360" w:lineRule="auto"/>
        <w:ind w:firstLine="480" w:firstLineChars="200"/>
        <w:jc w:val="left"/>
        <w:rPr>
          <w:rFonts w:hAnsi="宋体" w:cs="宋体"/>
          <w:b/>
          <w:color w:val="auto"/>
          <w:sz w:val="24"/>
          <w:highlight w:val="none"/>
        </w:rPr>
      </w:pPr>
      <w:r>
        <w:rPr>
          <w:rFonts w:hint="eastAsia" w:hAnsi="宋体" w:cs="宋体"/>
          <w:color w:val="auto"/>
          <w:sz w:val="24"/>
          <w:highlight w:val="none"/>
        </w:rPr>
        <w:t>（</w:t>
      </w:r>
      <w:r>
        <w:rPr>
          <w:rFonts w:hAnsi="宋体" w:cs="宋体"/>
          <w:color w:val="auto"/>
          <w:sz w:val="24"/>
          <w:highlight w:val="none"/>
        </w:rPr>
        <w:t>2）供应商应提供以下证明材料：</w:t>
      </w:r>
    </w:p>
    <w:p>
      <w:pPr>
        <w:spacing w:line="360" w:lineRule="auto"/>
        <w:ind w:firstLine="481"/>
        <w:rPr>
          <w:rFonts w:ascii="宋体" w:hAnsi="宋体" w:eastAsia="宋体" w:cs="宋体"/>
          <w:color w:val="auto"/>
          <w:sz w:val="24"/>
          <w:highlight w:val="none"/>
        </w:rPr>
      </w:pPr>
      <w:r>
        <w:rPr>
          <w:rFonts w:hint="eastAsia" w:ascii="宋体" w:hAnsi="宋体" w:eastAsia="宋体" w:cs="宋体"/>
          <w:color w:val="auto"/>
          <w:sz w:val="24"/>
          <w:highlight w:val="none"/>
        </w:rPr>
        <w:t>①供应商为企业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②参加网上竞价活动前</w:t>
      </w:r>
      <w:r>
        <w:rPr>
          <w:rFonts w:ascii="宋体" w:hAnsi="宋体" w:cs="宋体"/>
          <w:color w:val="auto"/>
          <w:sz w:val="24"/>
          <w:highlight w:val="none"/>
        </w:rPr>
        <w:t>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w:t>
      </w:r>
      <w:r>
        <w:rPr>
          <w:rFonts w:ascii="宋体" w:hAnsi="宋体" w:cs="宋体"/>
          <w:color w:val="auto"/>
          <w:kern w:val="0"/>
          <w:sz w:val="24"/>
          <w:highlight w:val="none"/>
        </w:rPr>
        <w:t>2022〕3号文件的规定，“较大数额罚款”认定为200万元以上的罚款，法律、行政法规以及国务院有关部门明确规定相关领域“较大数额罚款”标准高于200万元的，从其规定。</w:t>
      </w:r>
    </w:p>
    <w:p>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③具备履行合同所必需的设备和专业技术能力的承诺，格式详见本网上竞价文件第五章《竞价承诺书》；</w:t>
      </w:r>
    </w:p>
    <w:p>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④单位授权书，格式详见本网上竞价文件第五章。</w:t>
      </w:r>
    </w:p>
    <w:p>
      <w:pPr>
        <w:numPr>
          <w:ilvl w:val="0"/>
          <w:numId w:val="2"/>
        </w:numPr>
        <w:spacing w:line="360" w:lineRule="auto"/>
        <w:ind w:firstLine="481"/>
        <w:rPr>
          <w:rFonts w:ascii="宋体" w:hAnsi="宋体" w:cs="宋体"/>
          <w:color w:val="auto"/>
          <w:highlight w:val="none"/>
        </w:rPr>
      </w:pPr>
      <w:r>
        <w:rPr>
          <w:rFonts w:hint="eastAsia" w:ascii="宋体" w:hAnsi="宋体" w:cs="宋体"/>
          <w:color w:val="auto"/>
          <w:sz w:val="24"/>
          <w:highlight w:val="none"/>
        </w:rPr>
        <w:t>信用记录查询结果：①信用记录查询的截止时点：信用记录查询的截止时点为本项目报名截止时间当日。②信用记录查询渠道：信用中国（</w:t>
      </w:r>
      <w:r>
        <w:rPr>
          <w:rFonts w:ascii="宋体" w:hAnsi="宋体" w:cs="宋体"/>
          <w:color w:val="auto"/>
          <w:sz w:val="24"/>
          <w:highlight w:val="none"/>
        </w:rPr>
        <w:t xml:space="preserve">www.creditchina.gov.cn）、中国政府采购网（www.ccgp.gov.cn）。 </w:t>
      </w:r>
      <w:r>
        <w:rPr>
          <w:rFonts w:hint="eastAsia" w:ascii="宋体" w:hAnsi="宋体" w:cs="宋体"/>
          <w:color w:val="auto"/>
          <w:sz w:val="24"/>
          <w:highlight w:val="none"/>
        </w:rPr>
        <w:t>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numPr>
          <w:ilvl w:val="0"/>
          <w:numId w:val="2"/>
        </w:num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本项目是否接受联合体竞价：不接受。</w:t>
      </w:r>
    </w:p>
    <w:p>
      <w:pPr>
        <w:widowControl/>
        <w:shd w:val="clear" w:color="auto" w:fill="FFFFFF"/>
        <w:spacing w:line="360" w:lineRule="auto"/>
        <w:ind w:firstLine="480" w:firstLineChars="200"/>
        <w:jc w:val="left"/>
        <w:rPr>
          <w:rStyle w:val="25"/>
          <w:rFonts w:ascii="宋体" w:hAnsi="宋体" w:cs="宋体"/>
          <w:color w:val="auto"/>
          <w:highlight w:val="none"/>
        </w:rPr>
      </w:pPr>
      <w:r>
        <w:rPr>
          <w:rStyle w:val="25"/>
          <w:rFonts w:ascii="宋体" w:hAnsi="宋体" w:cs="宋体"/>
          <w:color w:val="auto"/>
          <w:sz w:val="24"/>
          <w:highlight w:val="none"/>
        </w:rPr>
        <w:t>注：</w:t>
      </w:r>
      <w:r>
        <w:rPr>
          <w:rFonts w:hint="eastAsia" w:ascii="宋体" w:hAnsi="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随竞价材料上传。</w:t>
      </w:r>
    </w:p>
    <w:p>
      <w:pPr>
        <w:widowControl/>
        <w:spacing w:line="360" w:lineRule="auto"/>
        <w:ind w:firstLine="482" w:firstLineChars="200"/>
        <w:jc w:val="left"/>
        <w:rPr>
          <w:rFonts w:ascii="宋体" w:hAnsi="宋体" w:cs="宋体"/>
          <w:color w:val="auto"/>
          <w:sz w:val="24"/>
          <w:highlight w:val="none"/>
        </w:rPr>
      </w:pPr>
      <w:r>
        <w:rPr>
          <w:rFonts w:ascii="宋体" w:hAnsi="宋体" w:cs="宋体"/>
          <w:b/>
          <w:bCs/>
          <w:color w:val="auto"/>
          <w:sz w:val="24"/>
          <w:highlight w:val="none"/>
        </w:rPr>
        <w:t>6.</w:t>
      </w:r>
      <w:r>
        <w:rPr>
          <w:rFonts w:hint="eastAsia" w:ascii="宋体" w:hAnsi="宋体" w:cs="宋体"/>
          <w:b/>
          <w:color w:val="auto"/>
          <w:sz w:val="24"/>
          <w:highlight w:val="none"/>
        </w:rPr>
        <w:t>网上竞价文件售价</w:t>
      </w:r>
    </w:p>
    <w:p>
      <w:pPr>
        <w:widowControl/>
        <w:spacing w:line="360" w:lineRule="auto"/>
        <w:ind w:firstLine="480" w:firstLineChars="200"/>
        <w:jc w:val="left"/>
        <w:rPr>
          <w:rFonts w:ascii="宋体" w:hAnsi="宋体" w:cs="宋体"/>
          <w:color w:val="auto"/>
          <w:highlight w:val="none"/>
        </w:rPr>
      </w:pPr>
      <w:r>
        <w:rPr>
          <w:rFonts w:hint="eastAsia" w:ascii="宋体" w:hAnsi="宋体" w:cs="宋体"/>
          <w:bCs/>
          <w:color w:val="auto"/>
          <w:sz w:val="24"/>
          <w:highlight w:val="none"/>
        </w:rPr>
        <w:t>网上竞价文件售价</w:t>
      </w:r>
      <w:r>
        <w:rPr>
          <w:rFonts w:ascii="宋体" w:hAnsi="宋体" w:cs="宋体"/>
          <w:bCs/>
          <w:color w:val="auto"/>
          <w:sz w:val="24"/>
          <w:highlight w:val="none"/>
        </w:rPr>
        <w:t>0元，在报</w:t>
      </w:r>
      <w:r>
        <w:rPr>
          <w:rFonts w:hint="eastAsia" w:ascii="宋体" w:hAnsi="宋体" w:cs="宋体"/>
          <w:color w:val="auto"/>
          <w:sz w:val="24"/>
          <w:highlight w:val="none"/>
        </w:rPr>
        <w:t>名期限内，各潜在供应商可直接从采购公告附件中获取网上竞价文件。</w:t>
      </w:r>
    </w:p>
    <w:p>
      <w:p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7.</w:t>
      </w:r>
      <w:r>
        <w:rPr>
          <w:rFonts w:hint="eastAsia" w:ascii="宋体" w:hAnsi="宋体" w:cs="宋体"/>
          <w:b/>
          <w:bCs/>
          <w:color w:val="auto"/>
          <w:sz w:val="24"/>
          <w:highlight w:val="none"/>
        </w:rPr>
        <w:t>网上竞价保证金：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w:t>
      </w:r>
      <w:r>
        <w:rPr>
          <w:rFonts w:hint="eastAsia" w:ascii="宋体" w:hAnsi="宋体" w:cs="宋体"/>
          <w:b/>
          <w:bCs/>
          <w:color w:val="auto"/>
          <w:sz w:val="24"/>
          <w:highlight w:val="none"/>
        </w:rPr>
        <w:t>竞价保证金为</w:t>
      </w:r>
      <w:r>
        <w:rPr>
          <w:rFonts w:hint="eastAsia" w:ascii="宋体" w:hAnsi="宋体" w:cs="宋体"/>
          <w:b/>
          <w:bCs/>
          <w:color w:val="auto"/>
          <w:sz w:val="24"/>
          <w:highlight w:val="none"/>
          <w:u w:val="single"/>
          <w:lang w:val="en-US" w:eastAsia="zh-CN"/>
        </w:rPr>
        <w:t>4500</w:t>
      </w:r>
      <w:r>
        <w:rPr>
          <w:rFonts w:hint="eastAsia" w:ascii="宋体" w:hAnsi="宋体" w:cs="宋体"/>
          <w:b/>
          <w:bCs/>
          <w:color w:val="auto"/>
          <w:sz w:val="24"/>
          <w:highlight w:val="none"/>
        </w:rPr>
        <w:t>元人民币</w:t>
      </w:r>
      <w:r>
        <w:rPr>
          <w:rFonts w:hint="eastAsia" w:ascii="宋体" w:hAnsi="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，网上竞价保证金须以对公转账、支票、汇票等非现金形式提交且应在报名截止时间前到达指定账户，否则报名审核不合格。采购代理机构将以网上竞价保证金收款银行提供的保证金到账时间为依据进行确认。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网上竞价保证金缴交指定账户：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名：龙岩市鑫达工程管理有限公司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行：福建龙岩农村商业银行金源支行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ascii="宋体" w:hAnsi="宋体" w:cs="宋体"/>
          <w:color w:val="auto"/>
          <w:sz w:val="24"/>
          <w:highlight w:val="none"/>
        </w:rPr>
        <w:t>9090234030010000187437</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响应文件有效期：首次响应文件提交截止时间起</w:t>
      </w:r>
      <w:r>
        <w:rPr>
          <w:rFonts w:ascii="宋体" w:hAnsi="宋体" w:cs="宋体"/>
          <w:color w:val="auto"/>
          <w:sz w:val="24"/>
          <w:highlight w:val="none"/>
        </w:rPr>
        <w:t>90个日历日。</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9.代理服务费：</w:t>
      </w:r>
    </w:p>
    <w:p>
      <w:pPr>
        <w:spacing w:line="360" w:lineRule="auto"/>
        <w:ind w:firstLine="480" w:firstLineChars="200"/>
        <w:textAlignment w:val="baseline"/>
        <w:rPr>
          <w:rFonts w:ascii="宋体" w:hAnsi="宋体" w:cs="宋体"/>
          <w:b/>
          <w:color w:val="auto"/>
          <w:kern w:val="0"/>
          <w:sz w:val="24"/>
          <w:highlight w:val="none"/>
          <w:shd w:val="clear" w:color="auto" w:fill="FFFFFF"/>
        </w:rPr>
      </w:pPr>
      <w:r>
        <w:rPr>
          <w:rFonts w:hint="eastAsia" w:ascii="宋体" w:hAnsi="宋体" w:cs="宋体"/>
          <w:bCs/>
          <w:color w:val="auto"/>
          <w:kern w:val="0"/>
          <w:sz w:val="24"/>
          <w:highlight w:val="none"/>
          <w:shd w:val="clear" w:color="auto" w:fill="FFFFFF"/>
        </w:rPr>
        <w:t>成交供应商应按照以下规定，向招标代理机构缴纳代理服务费：竞价文件内若有冲突条款的，以本条规定为准。根据闽狱采购</w:t>
      </w:r>
      <w:r>
        <w:rPr>
          <w:rFonts w:ascii="宋体" w:hAnsi="宋体" w:cs="宋体"/>
          <w:bCs/>
          <w:color w:val="auto"/>
          <w:kern w:val="0"/>
          <w:sz w:val="24"/>
          <w:highlight w:val="none"/>
          <w:shd w:val="clear" w:color="auto" w:fill="FFFFFF"/>
        </w:rPr>
        <w:t>[2018]3号《关于转发规范政府采购代理机构管理的通知》标准收取代理费：</w:t>
      </w:r>
    </w:p>
    <w:p>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eastAsia="宋体" w:cs="宋体"/>
          <w:color w:val="auto"/>
          <w:sz w:val="24"/>
          <w:highlight w:val="none"/>
        </w:rPr>
        <w:t>①</w:t>
      </w:r>
      <w:r>
        <w:rPr>
          <w:rFonts w:hint="eastAsia" w:ascii="宋体" w:hAnsi="宋体" w:cs="宋体"/>
          <w:bCs/>
          <w:color w:val="auto"/>
          <w:kern w:val="0"/>
          <w:sz w:val="24"/>
          <w:highlight w:val="none"/>
          <w:shd w:val="clear" w:color="auto" w:fill="FFFFFF"/>
        </w:rPr>
        <w:t>以</w:t>
      </w:r>
      <w:r>
        <w:rPr>
          <w:rFonts w:hint="eastAsia" w:ascii="宋体" w:hAnsi="宋体" w:cs="宋体"/>
          <w:bCs/>
          <w:color w:val="auto"/>
          <w:kern w:val="0"/>
          <w:sz w:val="24"/>
          <w:highlight w:val="none"/>
          <w:shd w:val="clear" w:color="auto" w:fill="FFFFFF"/>
          <w:lang w:val="en-US" w:eastAsia="zh-CN"/>
        </w:rPr>
        <w:t>成交金额</w:t>
      </w:r>
      <w:r>
        <w:rPr>
          <w:rFonts w:hint="eastAsia" w:ascii="宋体" w:hAnsi="宋体" w:cs="宋体"/>
          <w:bCs/>
          <w:color w:val="auto"/>
          <w:kern w:val="0"/>
          <w:sz w:val="24"/>
          <w:highlight w:val="none"/>
          <w:shd w:val="clear" w:color="auto" w:fill="FFFFFF"/>
        </w:rPr>
        <w:t>为计算基数；</w:t>
      </w:r>
    </w:p>
    <w:p>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②</w:t>
      </w:r>
      <w:r>
        <w:rPr>
          <w:rFonts w:hint="eastAsia" w:ascii="宋体" w:hAnsi="宋体" w:cs="宋体"/>
          <w:bCs/>
          <w:color w:val="auto"/>
          <w:kern w:val="0"/>
          <w:sz w:val="24"/>
          <w:highlight w:val="none"/>
          <w:shd w:val="clear" w:color="auto" w:fill="FFFFFF"/>
        </w:rPr>
        <w:t>招标代理服务收费实行累进法计算：</w:t>
      </w:r>
      <w:r>
        <w:rPr>
          <w:rFonts w:hint="eastAsia" w:ascii="宋体" w:hAnsi="宋体" w:cs="宋体"/>
          <w:bCs/>
          <w:color w:val="auto"/>
          <w:kern w:val="0"/>
          <w:sz w:val="24"/>
          <w:highlight w:val="none"/>
          <w:shd w:val="clear" w:color="auto" w:fill="FFFFFF"/>
          <w:lang w:val="en-US" w:eastAsia="zh-CN"/>
        </w:rPr>
        <w:t>成交</w:t>
      </w:r>
      <w:r>
        <w:rPr>
          <w:rFonts w:hint="eastAsia" w:ascii="宋体" w:hAnsi="宋体" w:cs="宋体"/>
          <w:bCs/>
          <w:color w:val="auto"/>
          <w:kern w:val="0"/>
          <w:sz w:val="24"/>
          <w:highlight w:val="none"/>
          <w:shd w:val="clear" w:color="auto" w:fill="FFFFFF"/>
        </w:rPr>
        <w:t>金额（万元）收费费率标准</w:t>
      </w:r>
      <w:r>
        <w:rPr>
          <w:rFonts w:ascii="宋体" w:hAnsi="宋体" w:cs="宋体"/>
          <w:bCs/>
          <w:color w:val="auto"/>
          <w:kern w:val="0"/>
          <w:sz w:val="24"/>
          <w:highlight w:val="none"/>
          <w:shd w:val="clear" w:color="auto" w:fill="FFFFFF"/>
        </w:rPr>
        <w:t>50（含，下同）以下按1%。</w:t>
      </w:r>
    </w:p>
    <w:p>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③</w:t>
      </w:r>
      <w:r>
        <w:rPr>
          <w:rFonts w:hint="eastAsia" w:ascii="宋体" w:hAnsi="宋体" w:cs="宋体"/>
          <w:bCs/>
          <w:color w:val="auto"/>
          <w:kern w:val="0"/>
          <w:sz w:val="24"/>
          <w:highlight w:val="none"/>
          <w:shd w:val="clear" w:color="auto" w:fill="FFFFFF"/>
        </w:rPr>
        <w:t>代理服务费的缴纳方式：</w:t>
      </w:r>
    </w:p>
    <w:p>
      <w:pPr>
        <w:spacing w:line="360" w:lineRule="auto"/>
        <w:ind w:firstLine="480" w:firstLineChars="200"/>
        <w:textAlignment w:val="baseline"/>
        <w:rPr>
          <w:rFonts w:ascii="宋体" w:hAnsi="宋体" w:cs="宋体"/>
          <w:color w:val="auto"/>
          <w:highlight w:val="none"/>
        </w:rPr>
      </w:pPr>
      <w:r>
        <w:rPr>
          <w:rFonts w:hint="eastAsia" w:ascii="宋体" w:hAnsi="宋体" w:cs="宋体"/>
          <w:bCs/>
          <w:color w:val="auto"/>
          <w:kern w:val="0"/>
          <w:sz w:val="24"/>
          <w:highlight w:val="none"/>
          <w:shd w:val="clear" w:color="auto" w:fill="FFFFFF"/>
        </w:rPr>
        <w:t>代理服务费由成交供应商在代理机构领取成交通知书时支付代理服务费，代理服务费以银行转账或现金等付款方式</w:t>
      </w:r>
      <w:r>
        <w:rPr>
          <w:rFonts w:hint="eastAsia" w:ascii="宋体" w:hAnsi="宋体" w:eastAsia="宋体" w:cs="宋体"/>
          <w:color w:val="auto"/>
          <w:szCs w:val="21"/>
          <w:highlight w:val="none"/>
          <w:shd w:val="clear" w:color="auto" w:fill="FFFFFF"/>
        </w:rPr>
        <w:t>。</w:t>
      </w:r>
    </w:p>
    <w:p>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10.联系方式</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shd w:val="clear" w:color="auto" w:fill="FFFFFF"/>
          <w:lang w:eastAsia="zh-CN"/>
        </w:rPr>
        <w:t>福建龙岩锦泰工贸有限责任公司</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cs="宋体"/>
          <w:color w:val="auto"/>
          <w:sz w:val="24"/>
          <w:highlight w:val="none"/>
          <w:lang w:eastAsia="zh-CN"/>
        </w:rPr>
        <w:t>福建省龙岩市新罗区凤凰北路2号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r>
        <w:rPr>
          <w:rFonts w:hint="eastAsia" w:ascii="宋体" w:hAnsi="宋体" w:cs="宋体"/>
          <w:color w:val="auto"/>
          <w:sz w:val="24"/>
          <w:highlight w:val="none"/>
          <w:lang w:val="en-US" w:eastAsia="zh-CN"/>
        </w:rPr>
        <w:t>赖</w:t>
      </w:r>
      <w:r>
        <w:rPr>
          <w:rFonts w:hint="eastAsia" w:ascii="宋体" w:hAnsi="宋体" w:cs="宋体"/>
          <w:color w:val="auto"/>
          <w:sz w:val="24"/>
          <w:highlight w:val="none"/>
        </w:rPr>
        <w:t>先生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0597-5309186 </w:t>
      </w:r>
    </w:p>
    <w:p>
      <w:pPr>
        <w:pStyle w:val="2"/>
        <w:rPr>
          <w:rFonts w:ascii="宋体" w:hAnsi="宋体" w:cs="宋体"/>
          <w:color w:val="auto"/>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采购代理机构：龙岩市鑫达工程管理有限公司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址：福建省龙岩市新罗区登高西路</w:t>
      </w:r>
      <w:r>
        <w:rPr>
          <w:rFonts w:ascii="宋体" w:hAnsi="宋体" w:cs="宋体"/>
          <w:color w:val="auto"/>
          <w:sz w:val="24"/>
          <w:highlight w:val="none"/>
        </w:rPr>
        <w:t>163号930室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联系人及电话：陈飞、</w:t>
      </w:r>
      <w:r>
        <w:rPr>
          <w:rFonts w:ascii="宋体" w:hAnsi="宋体" w:cs="宋体"/>
          <w:color w:val="auto"/>
          <w:sz w:val="24"/>
          <w:highlight w:val="none"/>
        </w:rPr>
        <w:t>0597-2582288</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公司网址：</w:t>
      </w:r>
      <w:r>
        <w:rPr>
          <w:rFonts w:ascii="宋体" w:hAnsi="宋体" w:cs="宋体"/>
          <w:color w:val="auto"/>
          <w:sz w:val="24"/>
          <w:highlight w:val="none"/>
        </w:rPr>
        <w:t>www.lyxdgc.com</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rFonts w:ascii="宋体" w:hAnsi="宋体" w:cs="宋体"/>
          <w:color w:val="auto"/>
          <w:sz w:val="24"/>
          <w:highlight w:val="none"/>
        </w:rPr>
        <w:t>lysxd0597@163.com</w:t>
      </w:r>
    </w:p>
    <w:p>
      <w:pPr>
        <w:numPr>
          <w:ilvl w:val="255"/>
          <w:numId w:val="0"/>
        </w:num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11.有关本项目的相关信息（包括网上竞价文件若有修改补充），</w:t>
      </w:r>
      <w:r>
        <w:rPr>
          <w:rFonts w:hint="eastAsia" w:ascii="宋体" w:hAnsi="宋体" w:cs="宋体"/>
          <w:color w:val="auto"/>
          <w:sz w:val="24"/>
          <w:highlight w:val="none"/>
        </w:rPr>
        <w:t>龙岩市鑫达工程管理有限公司将通过以下媒介发布通知，请潜在供应商随时关注相关网站，以免错漏重要信息。</w:t>
      </w:r>
    </w:p>
    <w:p>
      <w:pPr>
        <w:numPr>
          <w:ilvl w:val="255"/>
          <w:numId w:val="0"/>
        </w:numPr>
        <w:spacing w:line="360" w:lineRule="auto"/>
        <w:rPr>
          <w:rFonts w:ascii="宋体" w:hAnsi="宋体" w:cs="宋体"/>
          <w:color w:val="auto"/>
          <w:sz w:val="24"/>
          <w:highlight w:val="none"/>
        </w:rPr>
      </w:pPr>
      <w:r>
        <w:rPr>
          <w:rFonts w:hint="eastAsia" w:ascii="宋体" w:hAnsi="宋体" w:cs="宋体"/>
          <w:color w:val="auto"/>
          <w:sz w:val="24"/>
          <w:highlight w:val="none"/>
        </w:rPr>
        <w:t>（1）福建省国资采购平台，网址：（https://ygcg.fjcqjy.com/）。</w:t>
      </w:r>
    </w:p>
    <w:p>
      <w:pPr>
        <w:spacing w:line="360" w:lineRule="auto"/>
        <w:rPr>
          <w:rFonts w:ascii="宋体" w:hAnsi="宋体" w:cs="宋体"/>
          <w:color w:val="auto"/>
          <w:sz w:val="24"/>
          <w:highlight w:val="none"/>
        </w:rPr>
      </w:pPr>
      <w:r>
        <w:rPr>
          <w:rFonts w:hint="eastAsia" w:ascii="宋体" w:hAnsi="宋体" w:cs="宋体"/>
          <w:color w:val="auto"/>
          <w:sz w:val="24"/>
          <w:highlight w:val="none"/>
        </w:rPr>
        <w:t>（2）龙岩市鑫达工程管理有限公司(www.lyxdgc.com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pPr>
        <w:spacing w:line="360" w:lineRule="auto"/>
        <w:rPr>
          <w:rFonts w:ascii="宋体" w:hAnsi="宋体" w:cs="宋体"/>
          <w:b/>
          <w:color w:val="auto"/>
          <w:kern w:val="0"/>
          <w:sz w:val="32"/>
          <w:szCs w:val="32"/>
          <w:highlight w:val="none"/>
        </w:rPr>
      </w:pPr>
    </w:p>
    <w:p>
      <w:pPr>
        <w:spacing w:line="360" w:lineRule="auto"/>
        <w:jc w:val="center"/>
        <w:rPr>
          <w:rFonts w:ascii="宋体" w:hAnsi="宋体" w:cs="宋体"/>
          <w:b/>
          <w:color w:val="auto"/>
          <w:kern w:val="0"/>
          <w:sz w:val="32"/>
          <w:szCs w:val="32"/>
          <w:highlight w:val="none"/>
        </w:rPr>
      </w:pPr>
    </w:p>
    <w:p>
      <w:pPr>
        <w:spacing w:line="360" w:lineRule="auto"/>
        <w:jc w:val="center"/>
        <w:rPr>
          <w:rFonts w:ascii="宋体" w:hAnsi="宋体" w:cs="宋体"/>
          <w:b/>
          <w:color w:val="auto"/>
          <w:kern w:val="0"/>
          <w:sz w:val="32"/>
          <w:szCs w:val="32"/>
          <w:highlight w:val="none"/>
        </w:rPr>
      </w:pPr>
    </w:p>
    <w:p>
      <w:pPr>
        <w:spacing w:line="360" w:lineRule="auto"/>
        <w:jc w:val="center"/>
        <w:rPr>
          <w:rFonts w:ascii="宋体" w:hAnsi="宋体" w:cs="宋体"/>
          <w:b/>
          <w:color w:val="auto"/>
          <w:kern w:val="0"/>
          <w:sz w:val="32"/>
          <w:szCs w:val="32"/>
          <w:highlight w:val="none"/>
        </w:rPr>
      </w:pPr>
    </w:p>
    <w:p>
      <w:pPr>
        <w:pStyle w:val="5"/>
        <w:rPr>
          <w:rFonts w:hint="default" w:cs="宋体"/>
          <w:color w:val="auto"/>
          <w:highlight w:val="none"/>
        </w:rPr>
      </w:pPr>
      <w:bookmarkStart w:id="9" w:name="_GoBack"/>
      <w:bookmarkEnd w:id="9"/>
    </w:p>
    <w:p>
      <w:pPr>
        <w:spacing w:line="360" w:lineRule="auto"/>
        <w:jc w:val="center"/>
        <w:rPr>
          <w:rFonts w:ascii="宋体" w:hAnsi="宋体" w:cs="宋体"/>
          <w:b/>
          <w:color w:val="auto"/>
          <w:kern w:val="0"/>
          <w:sz w:val="32"/>
          <w:szCs w:val="32"/>
          <w:highlight w:val="none"/>
        </w:rPr>
      </w:pPr>
    </w:p>
    <w:p>
      <w:pPr>
        <w:spacing w:line="360" w:lineRule="auto"/>
        <w:jc w:val="center"/>
        <w:rPr>
          <w:rFonts w:ascii="宋体" w:hAnsi="宋体" w:cs="宋体"/>
          <w:b/>
          <w:color w:val="auto"/>
          <w:kern w:val="0"/>
          <w:sz w:val="32"/>
          <w:szCs w:val="32"/>
          <w:highlight w:val="none"/>
        </w:rPr>
      </w:pPr>
    </w:p>
    <w:p>
      <w:pPr>
        <w:spacing w:line="360" w:lineRule="auto"/>
        <w:jc w:val="center"/>
        <w:rPr>
          <w:rFonts w:ascii="宋体" w:hAnsi="宋体" w:cs="宋体"/>
          <w:b/>
          <w:color w:val="auto"/>
          <w:kern w:val="0"/>
          <w:sz w:val="32"/>
          <w:szCs w:val="32"/>
          <w:highlight w:val="none"/>
        </w:rPr>
      </w:pPr>
    </w:p>
    <w:p>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第二章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网上竞价须知</w:t>
      </w:r>
    </w:p>
    <w:p>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1.供应商资格要求详见本文件第一章。</w:t>
      </w:r>
    </w:p>
    <w:p>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ascii="宋体" w:hAnsi="宋体" w:cs="宋体"/>
          <w:b/>
          <w:bCs/>
          <w:color w:val="auto"/>
          <w:sz w:val="24"/>
          <w:highlight w:val="none"/>
        </w:rPr>
      </w:pPr>
      <w:r>
        <w:rPr>
          <w:rFonts w:ascii="宋体" w:hAnsi="宋体" w:cs="宋体"/>
          <w:color w:val="auto"/>
          <w:sz w:val="24"/>
          <w:highlight w:val="none"/>
        </w:rPr>
        <w:t>3.为采购项目提供整体设计、规范编制或者项目管理、监理、检测等服务的供应商，不得再参加该采购项目的其他采购活动。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ascii="宋体" w:hAnsi="宋体" w:cs="宋体"/>
          <w:b/>
          <w:bCs/>
          <w:color w:val="auto"/>
          <w:sz w:val="24"/>
          <w:highlight w:val="none"/>
          <w:u w:val="single"/>
        </w:rPr>
        <w:t xml:space="preserve"> / </w:t>
      </w:r>
      <w:r>
        <w:rPr>
          <w:rFonts w:hint="eastAsia" w:ascii="宋体" w:hAnsi="宋体" w:cs="宋体"/>
          <w:b/>
          <w:bCs/>
          <w:color w:val="auto"/>
          <w:sz w:val="24"/>
          <w:highlight w:val="none"/>
        </w:rPr>
        <w:t>。</w:t>
      </w:r>
    </w:p>
    <w:p>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19"/>
        <w:spacing w:line="360" w:lineRule="auto"/>
        <w:ind w:left="0" w:leftChars="0" w:firstLine="480" w:firstLineChars="200"/>
        <w:rPr>
          <w:rFonts w:ascii="宋体" w:hAnsi="宋体" w:cs="宋体"/>
          <w:color w:val="auto"/>
          <w:sz w:val="24"/>
          <w:highlight w:val="none"/>
        </w:rPr>
      </w:pPr>
      <w:r>
        <w:rPr>
          <w:rFonts w:ascii="宋体" w:hAnsi="宋体" w:cs="宋体"/>
          <w:color w:val="auto"/>
          <w:sz w:val="24"/>
          <w:highlight w:val="none"/>
        </w:rPr>
        <w:t>5.供应商在网上竞价开始时未被列入福建省监狱管理局及其下属单位黑名单。须提供承诺函，格式详见第五章。</w:t>
      </w:r>
    </w:p>
    <w:p>
      <w:pPr>
        <w:spacing w:line="360" w:lineRule="auto"/>
        <w:ind w:firstLine="482" w:firstLineChars="200"/>
        <w:rPr>
          <w:rStyle w:val="25"/>
          <w:rFonts w:ascii="宋体" w:hAnsi="宋体" w:cs="宋体"/>
          <w:b/>
          <w:bCs/>
          <w:color w:val="auto"/>
          <w:kern w:val="0"/>
          <w:sz w:val="24"/>
          <w:highlight w:val="none"/>
        </w:rPr>
      </w:pPr>
      <w:r>
        <w:rPr>
          <w:rStyle w:val="25"/>
          <w:rFonts w:hint="eastAsia" w:ascii="宋体" w:hAnsi="宋体" w:cs="宋体"/>
          <w:b/>
          <w:bCs/>
          <w:color w:val="auto"/>
          <w:kern w:val="0"/>
          <w:sz w:val="24"/>
          <w:highlight w:val="none"/>
        </w:rPr>
        <w:t>二、报名须知</w:t>
      </w:r>
    </w:p>
    <w:p>
      <w:pPr>
        <w:widowControl/>
        <w:spacing w:line="360" w:lineRule="auto"/>
        <w:ind w:firstLine="480" w:firstLineChars="200"/>
        <w:jc w:val="left"/>
        <w:rPr>
          <w:rStyle w:val="25"/>
          <w:rFonts w:ascii="宋体" w:hAnsi="宋体" w:cs="宋体"/>
          <w:color w:val="auto"/>
          <w:kern w:val="0"/>
          <w:sz w:val="24"/>
          <w:highlight w:val="none"/>
        </w:rPr>
      </w:pPr>
      <w:r>
        <w:rPr>
          <w:rStyle w:val="25"/>
          <w:rFonts w:ascii="宋体" w:hAnsi="宋体" w:cs="宋体"/>
          <w:color w:val="auto"/>
          <w:kern w:val="0"/>
          <w:sz w:val="24"/>
          <w:highlight w:val="none"/>
        </w:rPr>
        <w:t>1.供应商应在网上竞价平台</w:t>
      </w:r>
      <w:r>
        <w:rPr>
          <w:rFonts w:hint="eastAsia" w:ascii="宋体" w:hAnsi="宋体" w:cs="宋体"/>
          <w:color w:val="auto"/>
          <w:kern w:val="0"/>
          <w:sz w:val="24"/>
          <w:highlight w:val="none"/>
        </w:rPr>
        <w:t>【龙岩市鑫达工程管理有限公司网站</w:t>
      </w:r>
      <w:r>
        <w:rPr>
          <w:rStyle w:val="25"/>
          <w:rFonts w:hint="eastAsia" w:ascii="宋体" w:hAnsi="宋体" w:cs="宋体"/>
          <w:color w:val="auto"/>
          <w:kern w:val="0"/>
          <w:sz w:val="24"/>
          <w:highlight w:val="none"/>
        </w:rPr>
        <w:t>（网址：</w:t>
      </w:r>
      <w:r>
        <w:rPr>
          <w:rFonts w:ascii="宋体" w:hAnsi="宋体" w:cs="宋体"/>
          <w:color w:val="auto"/>
          <w:kern w:val="0"/>
          <w:sz w:val="24"/>
          <w:highlight w:val="none"/>
        </w:rPr>
        <w:t>www.lyxdgc.com）】</w:t>
      </w:r>
      <w:r>
        <w:rPr>
          <w:rStyle w:val="25"/>
          <w:rFonts w:hint="eastAsia" w:ascii="宋体" w:hAnsi="宋体" w:cs="宋体"/>
          <w:color w:val="auto"/>
          <w:kern w:val="0"/>
          <w:sz w:val="24"/>
          <w:highlight w:val="none"/>
        </w:rPr>
        <w:t>上进行注册、报名（上传响应文件）、网上竞价等相关操作，具体操作指南详见网上竞价平台（网址：</w:t>
      </w:r>
      <w:r>
        <w:rPr>
          <w:rFonts w:ascii="宋体" w:hAnsi="宋体" w:cs="宋体"/>
          <w:color w:val="auto"/>
          <w:kern w:val="0"/>
          <w:sz w:val="24"/>
          <w:highlight w:val="none"/>
        </w:rPr>
        <w:t>www.lyxdgc.com</w:t>
      </w:r>
      <w:r>
        <w:rPr>
          <w:rStyle w:val="25"/>
          <w:rFonts w:hint="eastAsia" w:ascii="宋体" w:hAnsi="宋体" w:cs="宋体"/>
          <w:color w:val="auto"/>
          <w:kern w:val="0"/>
          <w:sz w:val="24"/>
          <w:highlight w:val="none"/>
        </w:rPr>
        <w:t>）</w:t>
      </w:r>
      <w:r>
        <w:rPr>
          <w:rStyle w:val="25"/>
          <w:rFonts w:hint="eastAsia" w:ascii="宋体" w:hAnsi="宋体" w:cs="宋体"/>
          <w:b/>
          <w:bCs/>
          <w:color w:val="auto"/>
          <w:kern w:val="0"/>
          <w:sz w:val="24"/>
          <w:highlight w:val="none"/>
        </w:rPr>
        <w:t>。</w:t>
      </w:r>
      <w:r>
        <w:rPr>
          <w:rStyle w:val="25"/>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pPr>
        <w:widowControl/>
        <w:shd w:val="clear" w:color="auto" w:fill="FFFFFF"/>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2.供应商须</w:t>
      </w:r>
      <w:r>
        <w:rPr>
          <w:rStyle w:val="25"/>
          <w:rFonts w:hint="eastAsia" w:ascii="宋体" w:hAnsi="宋体" w:cs="宋体"/>
          <w:color w:val="auto"/>
          <w:sz w:val="24"/>
          <w:highlight w:val="none"/>
        </w:rPr>
        <w:t>按本文件第五章“第一部分</w:t>
      </w:r>
      <w:r>
        <w:rPr>
          <w:rStyle w:val="25"/>
          <w:rFonts w:ascii="宋体" w:hAnsi="宋体" w:cs="宋体"/>
          <w:color w:val="auto"/>
          <w:sz w:val="24"/>
          <w:highlight w:val="none"/>
        </w:rPr>
        <w:t xml:space="preserve"> </w:t>
      </w:r>
      <w:r>
        <w:rPr>
          <w:rStyle w:val="25"/>
          <w:rFonts w:hint="eastAsia" w:ascii="宋体" w:hAnsi="宋体" w:cs="宋体"/>
          <w:color w:val="auto"/>
          <w:sz w:val="24"/>
          <w:highlight w:val="none"/>
        </w:rPr>
        <w:t>资格及技术商务部分”格式制作报名审核文件，并在规定的报名截止时间前将经供应商单位负责人或授权代表签名并逐页加盖公章（或骑缝章）后的响应文件扫描件（</w:t>
      </w:r>
      <w:r>
        <w:rPr>
          <w:rStyle w:val="25"/>
          <w:rFonts w:ascii="宋体" w:hAnsi="宋体" w:cs="宋体"/>
          <w:color w:val="auto"/>
          <w:sz w:val="24"/>
          <w:highlight w:val="none"/>
        </w:rPr>
        <w:t>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color w:val="auto"/>
          <w:sz w:val="24"/>
          <w:highlight w:val="none"/>
        </w:rPr>
        <w:t>供应商可在网上竞价开始时间前通过平台查询其是否通过审核，如未通过审核，可获悉未通过的具体原因。</w:t>
      </w:r>
    </w:p>
    <w:p>
      <w:pPr>
        <w:pStyle w:val="16"/>
        <w:spacing w:before="75" w:beforeAutospacing="0" w:after="75" w:afterAutospacing="0" w:line="360" w:lineRule="auto"/>
        <w:ind w:firstLine="480"/>
        <w:rPr>
          <w:rStyle w:val="25"/>
          <w:rFonts w:ascii="宋体" w:hAnsi="宋体" w:cs="宋体"/>
          <w:b/>
          <w:bCs/>
          <w:color w:val="auto"/>
          <w:sz w:val="24"/>
          <w:highlight w:val="none"/>
        </w:rPr>
      </w:pPr>
      <w:r>
        <w:rPr>
          <w:color w:val="auto"/>
          <w:kern w:val="0"/>
          <w:sz w:val="24"/>
          <w:highlight w:val="none"/>
        </w:rPr>
        <w:t>3.</w:t>
      </w:r>
      <w:r>
        <w:rPr>
          <w:rStyle w:val="25"/>
          <w:rFonts w:hint="eastAsia"/>
          <w:color w:val="auto"/>
          <w:sz w:val="24"/>
          <w:highlight w:val="none"/>
        </w:rPr>
        <w:t>供应商提交的响应文件符合网上竞价文件要求的（即不存在网上竞价文件中规定的无效响应情形的）方可在网上竞价时间内参与竞价</w:t>
      </w:r>
      <w:r>
        <w:rPr>
          <w:rStyle w:val="25"/>
          <w:color w:val="auto"/>
          <w:sz w:val="24"/>
          <w:highlight w:val="none"/>
        </w:rPr>
        <w:t>。</w:t>
      </w:r>
      <w:r>
        <w:rPr>
          <w:rStyle w:val="25"/>
          <w:rFonts w:hint="eastAsia"/>
          <w:color w:val="auto"/>
          <w:sz w:val="24"/>
          <w:highlight w:val="none"/>
        </w:rPr>
        <w:t>若供应商的响应文件存在网上竞价文件中规定无效响应情形的，则报名审核不合格，该供应商</w:t>
      </w:r>
      <w:r>
        <w:rPr>
          <w:rFonts w:hint="eastAsia"/>
          <w:color w:val="auto"/>
          <w:kern w:val="0"/>
          <w:sz w:val="24"/>
          <w:highlight w:val="none"/>
        </w:rPr>
        <w:t>将失去竞价资格。网上竞价文件及供应商提交的电子响应文件均具有法律效</w:t>
      </w:r>
      <w:r>
        <w:rPr>
          <w:rStyle w:val="25"/>
          <w:rFonts w:hint="eastAsia" w:ascii="宋体" w:hAnsi="宋体" w:cs="宋体"/>
          <w:color w:val="auto"/>
          <w:highlight w:val="none"/>
        </w:rPr>
        <w:t>力</w:t>
      </w:r>
      <w:r>
        <w:rPr>
          <w:rStyle w:val="25"/>
          <w:rFonts w:hint="eastAsia" w:ascii="宋体" w:hAnsi="宋体" w:cs="宋体"/>
          <w:color w:val="auto"/>
          <w:sz w:val="24"/>
          <w:highlight w:val="none"/>
        </w:rPr>
        <w:t>。</w:t>
      </w:r>
      <w:r>
        <w:rPr>
          <w:rStyle w:val="25"/>
          <w:rFonts w:hint="eastAsia" w:ascii="宋体" w:hAnsi="宋体" w:cs="宋体"/>
          <w:b/>
          <w:bCs/>
          <w:color w:val="auto"/>
          <w:sz w:val="24"/>
          <w:highlight w:val="none"/>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5"/>
          <w:rFonts w:hint="eastAsia" w:ascii="宋体" w:hAnsi="宋体" w:cs="宋体"/>
          <w:color w:val="auto"/>
          <w:sz w:val="24"/>
          <w:highlight w:val="none"/>
        </w:rPr>
        <w:t>本次采购活动结束，采购人将按照相关规定进行后续采购活动（包括但不限于：重新开展网上竞价活动、采用其他方式采购等）。</w:t>
      </w:r>
    </w:p>
    <w:p>
      <w:pPr>
        <w:pStyle w:val="16"/>
        <w:spacing w:before="75" w:beforeAutospacing="0" w:after="75" w:afterAutospacing="0" w:line="360" w:lineRule="auto"/>
        <w:ind w:firstLine="480"/>
        <w:rPr>
          <w:color w:val="auto"/>
          <w:highlight w:val="none"/>
        </w:rPr>
      </w:pPr>
      <w:r>
        <w:rPr>
          <w:color w:val="auto"/>
          <w:kern w:val="0"/>
          <w:sz w:val="24"/>
          <w:highlight w:val="none"/>
        </w:rPr>
        <w:t>4.有下列情形之一的，</w:t>
      </w:r>
      <w:r>
        <w:rPr>
          <w:rStyle w:val="22"/>
          <w:rFonts w:hint="eastAsia"/>
          <w:color w:val="auto"/>
          <w:highlight w:val="none"/>
        </w:rPr>
        <w:t>报名审核不合格，视为无效响应：</w:t>
      </w:r>
    </w:p>
    <w:p>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1）不符合本文件第一章“供应商资格要求”的；</w:t>
      </w:r>
    </w:p>
    <w:p>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2）不符合本文件第二章“合格的供应商”要求的；</w:t>
      </w:r>
    </w:p>
    <w:p>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3）违反网上竞价文件中载明“无效响应”条款</w:t>
      </w:r>
      <w:r>
        <w:rPr>
          <w:rFonts w:ascii="宋体" w:hAnsi="宋体" w:cs="宋体"/>
          <w:b w:val="0"/>
          <w:bCs w:val="0"/>
          <w:color w:val="auto"/>
          <w:kern w:val="0"/>
          <w:sz w:val="24"/>
          <w:szCs w:val="24"/>
          <w:highlight w:val="none"/>
        </w:rPr>
        <w:t>的规定</w:t>
      </w:r>
      <w:r>
        <w:rPr>
          <w:rFonts w:hint="eastAsia" w:ascii="宋体" w:hAnsi="宋体" w:cs="宋体"/>
          <w:b w:val="0"/>
          <w:bCs w:val="0"/>
          <w:color w:val="auto"/>
          <w:kern w:val="0"/>
          <w:sz w:val="24"/>
          <w:szCs w:val="24"/>
          <w:highlight w:val="none"/>
        </w:rPr>
        <w:t>。</w:t>
      </w:r>
    </w:p>
    <w:p>
      <w:pPr>
        <w:spacing w:line="360" w:lineRule="auto"/>
        <w:ind w:firstLine="482" w:firstLineChars="200"/>
        <w:rPr>
          <w:rFonts w:ascii="宋体" w:hAnsi="宋体" w:cs="宋体"/>
          <w:b/>
          <w:bCs/>
          <w:color w:val="auto"/>
          <w:kern w:val="0"/>
          <w:sz w:val="24"/>
          <w:highlight w:val="none"/>
        </w:rPr>
      </w:pPr>
      <w:r>
        <w:rPr>
          <w:rStyle w:val="25"/>
          <w:rFonts w:hint="eastAsia" w:ascii="宋体" w:hAnsi="宋体" w:cs="宋体"/>
          <w:b/>
          <w:bCs/>
          <w:color w:val="auto"/>
          <w:kern w:val="0"/>
          <w:sz w:val="24"/>
          <w:highlight w:val="none"/>
        </w:rPr>
        <w:t>三、网上</w:t>
      </w:r>
      <w:r>
        <w:rPr>
          <w:rStyle w:val="25"/>
          <w:rFonts w:ascii="宋体" w:hAnsi="宋体" w:cs="宋体"/>
          <w:b/>
          <w:bCs/>
          <w:color w:val="auto"/>
          <w:kern w:val="0"/>
          <w:sz w:val="24"/>
          <w:highlight w:val="none"/>
        </w:rPr>
        <w:t>竞价规则</w:t>
      </w:r>
    </w:p>
    <w:p>
      <w:pPr>
        <w:pStyle w:val="16"/>
        <w:spacing w:before="75" w:beforeAutospacing="0" w:after="75" w:afterAutospacing="0" w:line="360" w:lineRule="auto"/>
        <w:ind w:firstLine="480"/>
        <w:rPr>
          <w:rStyle w:val="25"/>
          <w:rFonts w:ascii="宋体" w:hAnsi="宋体" w:cs="宋体"/>
          <w:color w:val="auto"/>
          <w:kern w:val="0"/>
          <w:sz w:val="24"/>
          <w:highlight w:val="none"/>
        </w:rPr>
      </w:pPr>
      <w:r>
        <w:rPr>
          <w:color w:val="auto"/>
          <w:kern w:val="0"/>
          <w:sz w:val="24"/>
          <w:highlight w:val="none"/>
        </w:rPr>
        <w:t>1.</w:t>
      </w:r>
      <w:r>
        <w:rPr>
          <w:rStyle w:val="25"/>
          <w:color w:val="auto"/>
          <w:kern w:val="0"/>
          <w:sz w:val="24"/>
          <w:highlight w:val="none"/>
        </w:rPr>
        <w:t>网上竞价的报价时限为</w:t>
      </w:r>
      <w:r>
        <w:rPr>
          <w:rStyle w:val="25"/>
          <w:rFonts w:hint="eastAsia"/>
          <w:color w:val="auto"/>
          <w:kern w:val="0"/>
          <w:sz w:val="24"/>
          <w:highlight w:val="none"/>
        </w:rPr>
        <w:t>网上竞价开始时间起至网上竞价截止时间止，在此期间内</w:t>
      </w:r>
      <w:r>
        <w:rPr>
          <w:rStyle w:val="25"/>
          <w:color w:val="auto"/>
          <w:kern w:val="0"/>
          <w:sz w:val="24"/>
          <w:highlight w:val="none"/>
        </w:rPr>
        <w:t>，报名审核</w:t>
      </w:r>
      <w:r>
        <w:rPr>
          <w:rStyle w:val="25"/>
          <w:rFonts w:hint="eastAsia"/>
          <w:color w:val="auto"/>
          <w:kern w:val="0"/>
          <w:sz w:val="24"/>
          <w:highlight w:val="none"/>
        </w:rPr>
        <w:t>通过</w:t>
      </w:r>
      <w:r>
        <w:rPr>
          <w:rStyle w:val="25"/>
          <w:color w:val="auto"/>
          <w:kern w:val="0"/>
          <w:sz w:val="24"/>
          <w:highlight w:val="none"/>
        </w:rPr>
        <w:t>的</w:t>
      </w:r>
      <w:r>
        <w:rPr>
          <w:rStyle w:val="25"/>
          <w:rFonts w:hint="eastAsia"/>
          <w:color w:val="auto"/>
          <w:kern w:val="0"/>
          <w:sz w:val="24"/>
          <w:highlight w:val="none"/>
        </w:rPr>
        <w:t>供应商</w:t>
      </w:r>
      <w:r>
        <w:rPr>
          <w:rStyle w:val="25"/>
          <w:color w:val="auto"/>
          <w:kern w:val="0"/>
          <w:sz w:val="24"/>
          <w:highlight w:val="none"/>
        </w:rPr>
        <w:t>可通过</w:t>
      </w:r>
      <w:r>
        <w:rPr>
          <w:rStyle w:val="25"/>
          <w:rFonts w:hint="eastAsia"/>
          <w:color w:val="auto"/>
          <w:kern w:val="0"/>
          <w:sz w:val="24"/>
          <w:highlight w:val="none"/>
        </w:rPr>
        <w:t>网上竞价平台</w:t>
      </w:r>
      <w:r>
        <w:rPr>
          <w:rStyle w:val="25"/>
          <w:color w:val="auto"/>
          <w:kern w:val="0"/>
          <w:sz w:val="24"/>
          <w:highlight w:val="none"/>
        </w:rPr>
        <w:t>参与</w:t>
      </w:r>
      <w:r>
        <w:rPr>
          <w:rStyle w:val="25"/>
          <w:rFonts w:hint="eastAsia"/>
          <w:color w:val="auto"/>
          <w:kern w:val="0"/>
          <w:sz w:val="24"/>
          <w:highlight w:val="none"/>
        </w:rPr>
        <w:t>网上</w:t>
      </w:r>
      <w:r>
        <w:rPr>
          <w:rStyle w:val="25"/>
          <w:color w:val="auto"/>
          <w:kern w:val="0"/>
          <w:sz w:val="24"/>
          <w:highlight w:val="none"/>
        </w:rPr>
        <w:t>竞价（不限报价次数，在规定时间内提交报价均可）。</w:t>
      </w:r>
      <w:r>
        <w:rPr>
          <w:rFonts w:hint="eastAsia"/>
          <w:b/>
          <w:bCs/>
          <w:color w:val="auto"/>
          <w:kern w:val="0"/>
          <w:sz w:val="24"/>
          <w:highlight w:val="none"/>
        </w:rPr>
        <w:t>至网上竞价截止时间止，若提交报价的供应商数量不足三家的</w:t>
      </w:r>
      <w:r>
        <w:rPr>
          <w:rStyle w:val="25"/>
          <w:rFonts w:hint="eastAsia" w:ascii="宋体" w:hAnsi="宋体" w:cs="宋体"/>
          <w:b/>
          <w:bCs/>
          <w:color w:val="auto"/>
          <w:sz w:val="24"/>
          <w:highlight w:val="none"/>
        </w:rPr>
        <w:t>（除“首次采用网上竞价采购方式流标的项目，在组织新一轮网上竞价采购时，采购过程中合格的供应商只有两家时，可以直接与该两家供应商进行网上竞价采购”情形外）</w:t>
      </w:r>
      <w:r>
        <w:rPr>
          <w:rFonts w:hint="eastAsia"/>
          <w:b/>
          <w:bCs/>
          <w:color w:val="auto"/>
          <w:kern w:val="0"/>
          <w:sz w:val="24"/>
          <w:highlight w:val="none"/>
        </w:rPr>
        <w:t>，本次采购活动结束，采购人将按照相关规定进行后续采购活动（包括但不限于：重新采购、采用其他方式采购等）。</w:t>
      </w:r>
    </w:p>
    <w:p>
      <w:pPr>
        <w:pageBreakBefore w:val="0"/>
        <w:widowControl/>
        <w:kinsoku/>
        <w:wordWrap/>
        <w:topLinePunct w:val="0"/>
        <w:bidi w:val="0"/>
        <w:spacing w:line="360" w:lineRule="auto"/>
        <w:ind w:firstLine="482" w:firstLineChars="200"/>
        <w:jc w:val="left"/>
        <w:textAlignment w:val="baseline"/>
        <w:rPr>
          <w:rStyle w:val="25"/>
          <w:rFonts w:hint="eastAsia" w:ascii="宋体" w:hAnsi="宋体"/>
          <w:b/>
          <w:bCs/>
          <w:color w:val="auto"/>
          <w:kern w:val="0"/>
          <w:sz w:val="24"/>
          <w:highlight w:val="none"/>
          <w:lang w:val="en-US"/>
        </w:rPr>
      </w:pPr>
      <w:r>
        <w:rPr>
          <w:rFonts w:hint="eastAsia" w:ascii="宋体" w:hAnsi="宋体" w:cs="宋体"/>
          <w:b/>
          <w:bCs/>
          <w:color w:val="auto"/>
          <w:sz w:val="24"/>
          <w:highlight w:val="none"/>
        </w:rPr>
        <w:t>2.</w:t>
      </w:r>
      <w:r>
        <w:rPr>
          <w:rStyle w:val="25"/>
          <w:rFonts w:hint="eastAsia" w:ascii="宋体" w:hAnsi="宋体"/>
          <w:b w:val="0"/>
          <w:bCs w:val="0"/>
          <w:color w:val="auto"/>
          <w:kern w:val="0"/>
          <w:sz w:val="24"/>
          <w:highlight w:val="none"/>
          <w:lang w:val="en-US"/>
        </w:rPr>
        <w:t>供应商首次提交的报价总价须低于本项目总价最高限价的3%以上（不含3%）[即本项目供应商首次提交的报价下浮率须高于3%以上（不含3%）]，否则视为无效报价。</w:t>
      </w:r>
      <w:r>
        <w:rPr>
          <w:rStyle w:val="25"/>
          <w:rFonts w:hint="eastAsia" w:ascii="宋体" w:hAnsi="宋体"/>
          <w:b/>
          <w:bCs/>
          <w:color w:val="auto"/>
          <w:kern w:val="0"/>
          <w:sz w:val="24"/>
          <w:highlight w:val="none"/>
          <w:lang w:val="en-US"/>
        </w:rPr>
        <w:t>（如供应商首次提交的报价未按竞价文件要求低于本项目总价最高限价的3%以上（不含3%）</w:t>
      </w:r>
      <w:r>
        <w:rPr>
          <w:rStyle w:val="25"/>
          <w:rFonts w:hint="eastAsia" w:ascii="宋体" w:hAnsi="宋体"/>
          <w:b w:val="0"/>
          <w:bCs w:val="0"/>
          <w:color w:val="auto"/>
          <w:kern w:val="0"/>
          <w:sz w:val="24"/>
          <w:highlight w:val="none"/>
          <w:lang w:val="en-US"/>
        </w:rPr>
        <w:t>[即供应商首次提交的报价下浮率未按竞价文件要求高于3%以上（不含3%）]</w:t>
      </w:r>
      <w:r>
        <w:rPr>
          <w:rStyle w:val="25"/>
          <w:rFonts w:hint="eastAsia" w:ascii="宋体" w:hAnsi="宋体"/>
          <w:b/>
          <w:bCs/>
          <w:color w:val="auto"/>
          <w:kern w:val="0"/>
          <w:sz w:val="24"/>
          <w:highlight w:val="none"/>
          <w:lang w:val="en-US"/>
        </w:rPr>
        <w:t>，继续在竞价平台上参与竞价、最终报价为最低者[即最终报价下浮率为最高者]，该供应商仍然不能成为本项目的供应商；当最低报价供应商的报价[即最高报价下浮率供应商的报价下浮率]不符合竞价要求时，则第二低价报价[即第二高报价下浮率]的供应商成为本项目的供应商。）</w:t>
      </w:r>
    </w:p>
    <w:p>
      <w:pPr>
        <w:pageBreakBefore w:val="0"/>
        <w:widowControl/>
        <w:kinsoku/>
        <w:wordWrap/>
        <w:topLinePunct w:val="0"/>
        <w:bidi w:val="0"/>
        <w:spacing w:line="360" w:lineRule="auto"/>
        <w:ind w:firstLine="480" w:firstLineChars="200"/>
        <w:jc w:val="left"/>
        <w:textAlignment w:val="baseline"/>
        <w:rPr>
          <w:rFonts w:ascii="宋体" w:hAnsi="宋体" w:cs="宋体"/>
          <w:color w:val="auto"/>
          <w:highlight w:val="none"/>
        </w:rPr>
      </w:pPr>
      <w:r>
        <w:rPr>
          <w:rStyle w:val="25"/>
          <w:rFonts w:hint="eastAsia" w:ascii="宋体" w:hAnsi="宋体"/>
          <w:b w:val="0"/>
          <w:bCs w:val="0"/>
          <w:color w:val="auto"/>
          <w:kern w:val="0"/>
          <w:sz w:val="24"/>
          <w:highlight w:val="none"/>
          <w:lang w:val="en-US"/>
        </w:rPr>
        <w:t>在网上竞价时间内、同一供应商有多次报价的情况下，则该供应商的每一次报价金额必须小于自己上一次的报价金额[即该供应商的每一次报价下浮率必须高于自己上一次的报价下浮率]，同时以该供应商提交的最后一次报价作为其最终有效报价。</w:t>
      </w:r>
    </w:p>
    <w:p>
      <w:pPr>
        <w:widowControl/>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3.供应商请认真阅读本网上竞价文件</w:t>
      </w:r>
      <w:r>
        <w:rPr>
          <w:rFonts w:hint="eastAsia" w:ascii="宋体" w:hAnsi="宋体" w:cs="宋体"/>
          <w:color w:val="auto"/>
          <w:sz w:val="24"/>
          <w:highlight w:val="none"/>
        </w:rPr>
        <w:t>和网上竞价公告</w:t>
      </w:r>
      <w:r>
        <w:rPr>
          <w:rFonts w:ascii="宋体" w:hAnsi="宋体" w:cs="宋体"/>
          <w:color w:val="auto"/>
          <w:sz w:val="24"/>
          <w:highlight w:val="none"/>
        </w:rPr>
        <w:t>{包括更正公告(如有的话)和有关附件}的</w:t>
      </w:r>
      <w:r>
        <w:rPr>
          <w:rFonts w:hint="eastAsia" w:ascii="宋体" w:hAnsi="宋体" w:cs="宋体"/>
          <w:color w:val="auto"/>
          <w:sz w:val="24"/>
          <w:highlight w:val="none"/>
        </w:rPr>
        <w:t>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pPr>
        <w:widowControl/>
        <w:spacing w:line="360" w:lineRule="auto"/>
        <w:ind w:firstLine="480" w:firstLineChars="200"/>
        <w:jc w:val="left"/>
        <w:textAlignment w:val="baseline"/>
        <w:rPr>
          <w:rStyle w:val="25"/>
          <w:rFonts w:ascii="宋体" w:hAnsi="宋体" w:cs="宋体"/>
          <w:color w:val="auto"/>
          <w:kern w:val="0"/>
          <w:sz w:val="24"/>
          <w:highlight w:val="none"/>
        </w:rPr>
      </w:pPr>
      <w:r>
        <w:rPr>
          <w:rFonts w:ascii="宋体" w:hAnsi="宋体" w:cs="宋体"/>
          <w:color w:val="auto"/>
          <w:sz w:val="24"/>
          <w:highlight w:val="none"/>
        </w:rPr>
        <w:t>1.</w:t>
      </w:r>
      <w:r>
        <w:rPr>
          <w:rStyle w:val="25"/>
          <w:rFonts w:hint="eastAsia" w:ascii="宋体" w:hAnsi="宋体" w:cs="宋体"/>
          <w:color w:val="auto"/>
          <w:kern w:val="0"/>
          <w:sz w:val="24"/>
          <w:highlight w:val="none"/>
        </w:rPr>
        <w:t>供应商</w:t>
      </w:r>
      <w:r>
        <w:rPr>
          <w:rStyle w:val="25"/>
          <w:rFonts w:ascii="宋体" w:hAnsi="宋体" w:cs="宋体"/>
          <w:color w:val="auto"/>
          <w:kern w:val="0"/>
          <w:sz w:val="24"/>
          <w:highlight w:val="none"/>
        </w:rPr>
        <w:t>在</w:t>
      </w:r>
      <w:r>
        <w:rPr>
          <w:rStyle w:val="25"/>
          <w:rFonts w:hint="eastAsia" w:ascii="宋体" w:hAnsi="宋体" w:cs="宋体"/>
          <w:color w:val="auto"/>
          <w:kern w:val="0"/>
          <w:sz w:val="24"/>
          <w:highlight w:val="none"/>
        </w:rPr>
        <w:t>完全满足网上竞价文件要求</w:t>
      </w:r>
      <w:r>
        <w:rPr>
          <w:rStyle w:val="25"/>
          <w:rFonts w:ascii="宋体" w:hAnsi="宋体" w:cs="宋体"/>
          <w:color w:val="auto"/>
          <w:kern w:val="0"/>
          <w:sz w:val="24"/>
          <w:highlight w:val="none"/>
        </w:rPr>
        <w:t>且报价有效的前提下，</w:t>
      </w:r>
      <w:r>
        <w:rPr>
          <w:rStyle w:val="25"/>
          <w:rFonts w:hint="eastAsia" w:ascii="宋体" w:hAnsi="宋体" w:cs="宋体"/>
          <w:color w:val="auto"/>
          <w:kern w:val="0"/>
          <w:sz w:val="24"/>
          <w:highlight w:val="none"/>
        </w:rPr>
        <w:t>最终有效报价</w:t>
      </w:r>
      <w:r>
        <w:rPr>
          <w:rStyle w:val="25"/>
          <w:rFonts w:ascii="宋体" w:hAnsi="宋体" w:cs="宋体"/>
          <w:color w:val="auto"/>
          <w:kern w:val="0"/>
          <w:sz w:val="24"/>
          <w:highlight w:val="none"/>
        </w:rPr>
        <w:t>最低者</w:t>
      </w:r>
      <w:r>
        <w:rPr>
          <w:rStyle w:val="25"/>
          <w:rFonts w:hint="eastAsia" w:ascii="宋体" w:hAnsi="宋体" w:cs="宋体"/>
          <w:color w:val="auto"/>
          <w:kern w:val="0"/>
          <w:sz w:val="24"/>
          <w:highlight w:val="none"/>
        </w:rPr>
        <w:t>为</w:t>
      </w:r>
      <w:r>
        <w:rPr>
          <w:rStyle w:val="25"/>
          <w:rFonts w:ascii="宋体" w:hAnsi="宋体" w:cs="宋体"/>
          <w:color w:val="auto"/>
          <w:kern w:val="0"/>
          <w:sz w:val="24"/>
          <w:highlight w:val="none"/>
        </w:rPr>
        <w:t>成交</w:t>
      </w:r>
      <w:r>
        <w:rPr>
          <w:rStyle w:val="25"/>
          <w:rFonts w:hint="eastAsia" w:ascii="宋体" w:hAnsi="宋体" w:cs="宋体"/>
          <w:color w:val="auto"/>
          <w:kern w:val="0"/>
          <w:sz w:val="24"/>
          <w:highlight w:val="none"/>
        </w:rPr>
        <w:t>候选人</w:t>
      </w:r>
      <w:r>
        <w:rPr>
          <w:rStyle w:val="25"/>
          <w:rFonts w:ascii="宋体" w:hAnsi="宋体" w:cs="宋体"/>
          <w:color w:val="auto"/>
          <w:kern w:val="0"/>
          <w:sz w:val="24"/>
          <w:highlight w:val="none"/>
        </w:rPr>
        <w:t>，若</w:t>
      </w:r>
      <w:r>
        <w:rPr>
          <w:rStyle w:val="25"/>
          <w:rFonts w:hint="eastAsia" w:ascii="宋体" w:hAnsi="宋体" w:cs="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2.供应商应遵守采购相关法规，若供应商违反规定，将按有关规定处理。</w:t>
      </w:r>
    </w:p>
    <w:p>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3.供应商同意按照网上竞价文件要求提供与其竞价有关的一切数据或资料，完全理解采购人不一定要接受最低报价。</w:t>
      </w:r>
    </w:p>
    <w:p>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1.采购代理机构应在网上竞价结果产生后两个工作日内将网上竞价结果确认书送采购人确认；</w:t>
      </w:r>
    </w:p>
    <w:p>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2.采购人在接到网上竞价结果确认书后五个工作日内确认网上竞价结果；</w:t>
      </w:r>
    </w:p>
    <w:p>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rPr>
          <w:rFonts w:ascii="宋体" w:hAnsi="宋体" w:cs="宋体"/>
          <w:color w:val="auto"/>
          <w:highlight w:val="none"/>
        </w:rPr>
      </w:pPr>
      <w:r>
        <w:rPr>
          <w:rFonts w:ascii="宋体" w:hAnsi="宋体" w:cs="宋体"/>
          <w:b/>
          <w:bCs/>
          <w:color w:val="auto"/>
          <w:sz w:val="24"/>
          <w:highlight w:val="none"/>
        </w:rPr>
        <w:t>4.</w:t>
      </w:r>
      <w:r>
        <w:rPr>
          <w:rStyle w:val="25"/>
          <w:rFonts w:hint="eastAsia" w:ascii="宋体" w:hAnsi="宋体" w:cs="宋体"/>
          <w:b/>
          <w:bCs/>
          <w:color w:val="auto"/>
          <w:sz w:val="24"/>
          <w:highlight w:val="none"/>
        </w:rPr>
        <w:t>成交公告发布后成交供应商须提供与网上竞价平台中电子响应文件内容相同的纸质响应文件</w:t>
      </w:r>
      <w:r>
        <w:rPr>
          <w:rStyle w:val="25"/>
          <w:rFonts w:ascii="宋体" w:hAnsi="宋体" w:cs="宋体"/>
          <w:b/>
          <w:bCs/>
          <w:color w:val="auto"/>
          <w:sz w:val="24"/>
          <w:highlight w:val="none"/>
        </w:rPr>
        <w:t xml:space="preserve">1套正本、3套副本，副本可以是正本的完整复印件。纸质响应文件应包含“第一部分 </w:t>
      </w:r>
      <w:r>
        <w:rPr>
          <w:rStyle w:val="25"/>
          <w:rFonts w:hint="eastAsia" w:ascii="宋体" w:hAnsi="宋体" w:cs="宋体"/>
          <w:b/>
          <w:bCs/>
          <w:color w:val="auto"/>
          <w:sz w:val="24"/>
          <w:highlight w:val="none"/>
        </w:rPr>
        <w:t>资格及技术商务部分”和“第二部分</w:t>
      </w:r>
      <w:r>
        <w:rPr>
          <w:rStyle w:val="25"/>
          <w:rFonts w:ascii="宋体" w:hAnsi="宋体" w:cs="宋体"/>
          <w:b/>
          <w:bCs/>
          <w:color w:val="auto"/>
          <w:sz w:val="24"/>
          <w:highlight w:val="none"/>
        </w:rPr>
        <w:t xml:space="preserve"> </w:t>
      </w:r>
      <w:r>
        <w:rPr>
          <w:rStyle w:val="25"/>
          <w:rFonts w:hint="eastAsia" w:ascii="宋体" w:hAnsi="宋体" w:cs="宋体"/>
          <w:b/>
          <w:bCs/>
          <w:color w:val="auto"/>
          <w:sz w:val="24"/>
          <w:highlight w:val="none"/>
        </w:rPr>
        <w:t>报价部分”，纸质响应文件须逐页加盖公章（或骑缝章）且装订成册。</w:t>
      </w:r>
    </w:p>
    <w:p>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1.成交供应商应在《成交通知书》发出之日起</w:t>
      </w:r>
      <w:r>
        <w:rPr>
          <w:rFonts w:ascii="宋体" w:hAnsi="宋体" w:cs="宋体"/>
          <w:color w:val="auto"/>
          <w:sz w:val="24"/>
          <w:szCs w:val="18"/>
          <w:highlight w:val="none"/>
        </w:rPr>
        <w:t>30天内与采购人签订合同，合同不得对网上竞价文件确定的事项和成交供应商的响应文件作实质性修改。</w:t>
      </w:r>
    </w:p>
    <w:p>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2.合同的履行、违约责任和解决争议的方法等适用民法典。</w:t>
      </w:r>
    </w:p>
    <w:p>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3.合同履行过程中，采购人若需追加与合同标的相同的货物、服务或工程，则追加采购金额不得超过原合同采购金额的</w:t>
      </w:r>
      <w:r>
        <w:rPr>
          <w:rFonts w:ascii="宋体" w:hAnsi="宋体" w:cs="宋体"/>
          <w:color w:val="auto"/>
          <w:sz w:val="24"/>
          <w:szCs w:val="18"/>
          <w:highlight w:val="none"/>
        </w:rPr>
        <w:t>10%。</w:t>
      </w:r>
    </w:p>
    <w:p>
      <w:pPr>
        <w:pStyle w:val="13"/>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6"/>
        <w:spacing w:before="0" w:beforeAutospacing="0" w:after="0" w:afterAutospacing="0" w:line="360" w:lineRule="auto"/>
        <w:ind w:firstLine="482" w:firstLineChars="200"/>
        <w:rPr>
          <w:b/>
          <w:bCs/>
          <w:color w:val="auto"/>
          <w:kern w:val="2"/>
          <w:highlight w:val="none"/>
        </w:rPr>
      </w:pPr>
      <w:r>
        <w:rPr>
          <w:rFonts w:hint="eastAsia"/>
          <w:b/>
          <w:bCs/>
          <w:color w:val="auto"/>
          <w:kern w:val="2"/>
          <w:sz w:val="24"/>
          <w:highlight w:val="none"/>
        </w:rPr>
        <w:t>七、如果</w:t>
      </w:r>
      <w:r>
        <w:rPr>
          <w:rStyle w:val="25"/>
          <w:rFonts w:hint="eastAsia"/>
          <w:b/>
          <w:bCs/>
          <w:color w:val="auto"/>
          <w:kern w:val="0"/>
          <w:sz w:val="24"/>
          <w:highlight w:val="none"/>
        </w:rPr>
        <w:t>供应商</w:t>
      </w:r>
      <w:r>
        <w:rPr>
          <w:rFonts w:hint="eastAsia"/>
          <w:b/>
          <w:bCs/>
          <w:color w:val="auto"/>
          <w:kern w:val="2"/>
          <w:sz w:val="24"/>
          <w:highlight w:val="none"/>
        </w:rPr>
        <w:t>发生以下任何一种情况时，其网上竞价保证金将被不予退还：</w:t>
      </w:r>
    </w:p>
    <w:p>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1）除因不可抗力或网上竞价文件认可的情形以外，成交供应商不与采购人签订合同或不能履约的；</w:t>
      </w:r>
    </w:p>
    <w:p>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2）成交供应商自动放弃成交资格的；</w:t>
      </w:r>
    </w:p>
    <w:p>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3）</w:t>
      </w:r>
      <w:r>
        <w:rPr>
          <w:rStyle w:val="25"/>
          <w:rFonts w:hint="eastAsia"/>
          <w:color w:val="auto"/>
          <w:kern w:val="0"/>
          <w:sz w:val="24"/>
          <w:highlight w:val="none"/>
        </w:rPr>
        <w:t>供应商</w:t>
      </w:r>
      <w:r>
        <w:rPr>
          <w:rFonts w:hint="eastAsia"/>
          <w:color w:val="auto"/>
          <w:kern w:val="2"/>
          <w:sz w:val="24"/>
          <w:highlight w:val="none"/>
        </w:rPr>
        <w:t>假借以他人名义参加竞价或者弄虚作假，骗取成交；</w:t>
      </w:r>
    </w:p>
    <w:p>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4）国家法律法规以及网上竞价文件中规定的其他竞价保证金不予退还的情形。</w:t>
      </w:r>
    </w:p>
    <w:p>
      <w:pPr>
        <w:spacing w:line="360" w:lineRule="auto"/>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w:t>
      </w:r>
      <w:bookmarkEnd w:id="0"/>
      <w:r>
        <w:rPr>
          <w:rFonts w:hint="eastAsia" w:ascii="宋体" w:hAnsi="宋体" w:cs="宋体"/>
          <w:b/>
          <w:color w:val="auto"/>
          <w:kern w:val="0"/>
          <w:sz w:val="32"/>
          <w:szCs w:val="32"/>
          <w:highlight w:val="none"/>
        </w:rPr>
        <w:t>内容及要求</w:t>
      </w:r>
    </w:p>
    <w:p>
      <w:pPr>
        <w:pStyle w:val="28"/>
        <w:spacing w:line="360" w:lineRule="auto"/>
        <w:jc w:val="both"/>
        <w:outlineLvl w:val="1"/>
        <w:rPr>
          <w:rFonts w:hint="default" w:ascii="宋体" w:hAnsi="宋体" w:cs="宋体"/>
          <w:b/>
          <w:color w:val="auto"/>
          <w:sz w:val="24"/>
          <w:szCs w:val="24"/>
          <w:highlight w:val="none"/>
        </w:rPr>
      </w:pPr>
      <w:bookmarkStart w:id="1" w:name="_Toc346300367"/>
      <w:bookmarkStart w:id="2" w:name="_Toc330567034"/>
      <w:bookmarkStart w:id="3" w:name="_Toc327948617"/>
      <w:bookmarkStart w:id="4" w:name="_Toc347060296"/>
      <w:r>
        <w:rPr>
          <w:rFonts w:ascii="宋体" w:hAnsi="宋体" w:cs="宋体"/>
          <w:b/>
          <w:color w:val="auto"/>
          <w:kern w:val="0"/>
          <w:sz w:val="24"/>
          <w:szCs w:val="24"/>
          <w:highlight w:val="none"/>
        </w:rPr>
        <w:t>一、项目概况：</w:t>
      </w:r>
    </w:p>
    <w:p>
      <w:pPr>
        <w:pStyle w:val="26"/>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本项目为福建</w:t>
      </w:r>
      <w:r>
        <w:rPr>
          <w:rFonts w:hint="eastAsia" w:ascii="宋体" w:hAnsi="宋体" w:cs="宋体"/>
          <w:bCs/>
          <w:color w:val="auto"/>
          <w:sz w:val="24"/>
          <w:highlight w:val="none"/>
          <w:lang w:eastAsia="zh-CN"/>
        </w:rPr>
        <w:t>龙岩锦泰工贸有限责任公司工业</w:t>
      </w:r>
      <w:r>
        <w:rPr>
          <w:rFonts w:hint="eastAsia" w:ascii="宋体" w:hAnsi="宋体" w:cs="宋体"/>
          <w:bCs/>
          <w:color w:val="auto"/>
          <w:sz w:val="24"/>
          <w:highlight w:val="none"/>
        </w:rPr>
        <w:t>空调机采购，拟采购</w:t>
      </w:r>
      <w:r>
        <w:rPr>
          <w:rFonts w:hint="eastAsia" w:ascii="宋体" w:hAnsi="宋体" w:cs="宋体"/>
          <w:bCs/>
          <w:color w:val="auto"/>
          <w:sz w:val="24"/>
          <w:highlight w:val="none"/>
          <w:lang w:val="en-US" w:eastAsia="zh-CN"/>
        </w:rPr>
        <w:t>18套工业</w:t>
      </w:r>
      <w:r>
        <w:rPr>
          <w:rFonts w:hint="eastAsia" w:ascii="宋体" w:hAnsi="宋体" w:cs="宋体"/>
          <w:bCs/>
          <w:color w:val="auto"/>
          <w:sz w:val="24"/>
          <w:highlight w:val="none"/>
        </w:rPr>
        <w:t>空调，</w:t>
      </w:r>
      <w:r>
        <w:rPr>
          <w:rFonts w:hint="eastAsia" w:ascii="宋体" w:hAnsi="宋体" w:cs="宋体"/>
          <w:bCs/>
          <w:color w:val="auto"/>
          <w:sz w:val="24"/>
          <w:highlight w:val="none"/>
          <w:lang w:eastAsia="zh-CN"/>
        </w:rPr>
        <w:t>成交人</w:t>
      </w:r>
      <w:r>
        <w:rPr>
          <w:rFonts w:hint="eastAsia" w:ascii="宋体" w:hAnsi="宋体" w:cs="宋体"/>
          <w:bCs/>
          <w:color w:val="auto"/>
          <w:sz w:val="24"/>
          <w:highlight w:val="none"/>
        </w:rPr>
        <w:t>提供的所有产品必须通过合法渠道获得，具有在中国境内的合法使用权和用户保护权且为全新产品。</w:t>
      </w:r>
    </w:p>
    <w:p>
      <w:pPr>
        <w:pStyle w:val="2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）本次施工区域位于</w:t>
      </w:r>
      <w:r>
        <w:rPr>
          <w:rFonts w:hint="eastAsia" w:ascii="宋体" w:hAnsi="宋体" w:cs="宋体"/>
          <w:bCs/>
          <w:color w:val="auto"/>
          <w:sz w:val="24"/>
          <w:highlight w:val="none"/>
          <w:lang w:val="en-US" w:eastAsia="zh-CN"/>
        </w:rPr>
        <w:t>采购人管理场所</w:t>
      </w:r>
      <w:r>
        <w:rPr>
          <w:rFonts w:hint="eastAsia" w:ascii="宋体" w:hAnsi="宋体" w:cs="宋体"/>
          <w:bCs/>
          <w:color w:val="auto"/>
          <w:sz w:val="24"/>
          <w:highlight w:val="none"/>
          <w:lang w:eastAsia="zh-CN"/>
        </w:rPr>
        <w:t>内部，属于特殊</w:t>
      </w:r>
      <w:r>
        <w:rPr>
          <w:rFonts w:hint="eastAsia" w:ascii="宋体" w:hAnsi="宋体" w:cs="宋体"/>
          <w:bCs/>
          <w:color w:val="auto"/>
          <w:sz w:val="24"/>
          <w:highlight w:val="none"/>
          <w:lang w:val="en-US" w:eastAsia="zh-CN"/>
        </w:rPr>
        <w:t>监管</w:t>
      </w:r>
      <w:r>
        <w:rPr>
          <w:rFonts w:hint="eastAsia" w:ascii="宋体" w:hAnsi="宋体" w:cs="宋体"/>
          <w:bCs/>
          <w:color w:val="auto"/>
          <w:sz w:val="24"/>
          <w:highlight w:val="none"/>
          <w:lang w:eastAsia="zh-CN"/>
        </w:rPr>
        <w:t>场所，施工时段及施工方式受限（每日有效施工时间约为5-6小时，女性施工人员无法进入监管区域内，工具及人员进出监管区均需提前报批并逐个清点登记，服务人员进入监管区时不得携带香烟、打火机、钱包、手机、电子通信工具等违禁品），</w:t>
      </w:r>
      <w:r>
        <w:rPr>
          <w:rFonts w:hint="eastAsia" w:ascii="宋体" w:hAnsi="宋体" w:cs="宋体"/>
          <w:bCs/>
          <w:color w:val="auto"/>
          <w:sz w:val="24"/>
          <w:highlight w:val="none"/>
          <w:lang w:val="en-US" w:eastAsia="zh-CN"/>
        </w:rPr>
        <w:t>供应商</w:t>
      </w:r>
      <w:r>
        <w:rPr>
          <w:rFonts w:hint="eastAsia" w:ascii="宋体" w:hAnsi="宋体" w:cs="宋体"/>
          <w:bCs/>
          <w:color w:val="auto"/>
          <w:sz w:val="24"/>
          <w:highlight w:val="none"/>
          <w:lang w:eastAsia="zh-CN"/>
        </w:rPr>
        <w:t>报价时应综合考虑用工成本及工期。因监管区域为特殊要求场所，</w:t>
      </w:r>
      <w:r>
        <w:rPr>
          <w:rFonts w:hint="eastAsia" w:ascii="宋体" w:hAnsi="宋体" w:cs="宋体"/>
          <w:bCs/>
          <w:color w:val="auto"/>
          <w:sz w:val="24"/>
          <w:highlight w:val="none"/>
          <w:lang w:val="en-US" w:eastAsia="zh-CN"/>
        </w:rPr>
        <w:t>监管</w:t>
      </w:r>
      <w:r>
        <w:rPr>
          <w:rFonts w:hint="eastAsia" w:ascii="宋体" w:hAnsi="宋体" w:cs="宋体"/>
          <w:bCs/>
          <w:color w:val="auto"/>
          <w:sz w:val="24"/>
          <w:highlight w:val="none"/>
          <w:lang w:eastAsia="zh-CN"/>
        </w:rPr>
        <w:t>区内施工有不同</w:t>
      </w:r>
      <w:r>
        <w:rPr>
          <w:rFonts w:hint="eastAsia" w:ascii="宋体" w:hAnsi="宋体" w:cs="宋体"/>
          <w:bCs/>
          <w:color w:val="auto"/>
          <w:sz w:val="24"/>
          <w:highlight w:val="none"/>
          <w:lang w:val="en-US" w:eastAsia="zh-CN"/>
        </w:rPr>
        <w:t>于</w:t>
      </w:r>
      <w:r>
        <w:rPr>
          <w:rFonts w:hint="eastAsia" w:ascii="宋体" w:hAnsi="宋体" w:cs="宋体"/>
          <w:bCs/>
          <w:color w:val="auto"/>
          <w:sz w:val="24"/>
          <w:highlight w:val="none"/>
          <w:lang w:eastAsia="zh-CN"/>
        </w:rPr>
        <w:t>普通场所的特点，</w:t>
      </w:r>
      <w:r>
        <w:rPr>
          <w:rFonts w:hint="eastAsia" w:ascii="宋体" w:hAnsi="宋体" w:cs="宋体"/>
          <w:bCs/>
          <w:color w:val="auto"/>
          <w:sz w:val="24"/>
          <w:highlight w:val="none"/>
          <w:lang w:val="en-US" w:eastAsia="zh-CN"/>
        </w:rPr>
        <w:t>供应商</w:t>
      </w:r>
      <w:r>
        <w:rPr>
          <w:rFonts w:hint="eastAsia" w:ascii="宋体" w:hAnsi="宋体" w:cs="宋体"/>
          <w:bCs/>
          <w:color w:val="auto"/>
          <w:sz w:val="24"/>
          <w:highlight w:val="none"/>
          <w:lang w:eastAsia="zh-CN"/>
        </w:rPr>
        <w:t>在编制响应文件前务必认真阅读，报价中须充分考虑此因素，避免造成不必要的损失。</w:t>
      </w:r>
    </w:p>
    <w:p>
      <w:pPr>
        <w:pStyle w:val="2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rPr>
        <w:t>）采购标的一览表</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2"/>
        <w:gridCol w:w="745"/>
        <w:gridCol w:w="1468"/>
        <w:gridCol w:w="1628"/>
        <w:gridCol w:w="878"/>
        <w:gridCol w:w="1146"/>
        <w:gridCol w:w="1449"/>
        <w:gridCol w:w="1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2"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合同包</w:t>
            </w:r>
          </w:p>
        </w:tc>
        <w:tc>
          <w:tcPr>
            <w:tcW w:w="745"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68"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品目编码</w:t>
            </w:r>
            <w:r>
              <w:rPr>
                <w:rFonts w:hint="eastAsia" w:asciiTheme="minorEastAsia" w:hAnsiTheme="minorEastAsia" w:eastAsiaTheme="minorEastAsia" w:cstheme="minorEastAsia"/>
                <w:color w:val="auto"/>
                <w:sz w:val="24"/>
                <w:szCs w:val="24"/>
                <w:highlight w:val="none"/>
                <w:lang w:val="en-US" w:eastAsia="zh-CN"/>
              </w:rPr>
              <w:t>及品目名称</w:t>
            </w:r>
          </w:p>
        </w:tc>
        <w:tc>
          <w:tcPr>
            <w:tcW w:w="1628"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标的</w:t>
            </w:r>
            <w:r>
              <w:rPr>
                <w:rFonts w:hint="eastAsia" w:asciiTheme="minorEastAsia" w:hAnsiTheme="minorEastAsia" w:eastAsiaTheme="minorEastAsia" w:cstheme="minorEastAsia"/>
                <w:color w:val="auto"/>
                <w:sz w:val="24"/>
                <w:szCs w:val="24"/>
                <w:highlight w:val="none"/>
              </w:rPr>
              <w:t>名称</w:t>
            </w:r>
          </w:p>
        </w:tc>
        <w:tc>
          <w:tcPr>
            <w:tcW w:w="878"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146"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计量单位</w:t>
            </w:r>
          </w:p>
        </w:tc>
        <w:tc>
          <w:tcPr>
            <w:tcW w:w="1449"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最高限价</w:t>
            </w:r>
            <w:r>
              <w:rPr>
                <w:rFonts w:hint="eastAsia" w:asciiTheme="minorEastAsia" w:hAnsiTheme="minorEastAsia" w:eastAsiaTheme="minorEastAsia" w:cstheme="minorEastAsia"/>
                <w:color w:val="auto"/>
                <w:sz w:val="24"/>
                <w:szCs w:val="24"/>
                <w:highlight w:val="none"/>
              </w:rPr>
              <w:t>金额（元）</w:t>
            </w:r>
          </w:p>
        </w:tc>
        <w:tc>
          <w:tcPr>
            <w:tcW w:w="1670"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5" w:hRule="atLeast"/>
          <w:jc w:val="center"/>
        </w:trPr>
        <w:tc>
          <w:tcPr>
            <w:tcW w:w="962"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745"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68"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A02052305空调机组</w:t>
            </w:r>
          </w:p>
        </w:tc>
        <w:tc>
          <w:tcPr>
            <w:tcW w:w="1628"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highlight w:val="none"/>
                <w:lang w:eastAsia="zh-CN"/>
              </w:rPr>
              <w:t>福建龙岩锦泰工贸有限责任公司工业空调机采购项目</w:t>
            </w:r>
          </w:p>
        </w:tc>
        <w:tc>
          <w:tcPr>
            <w:tcW w:w="878"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w:t>
            </w:r>
          </w:p>
        </w:tc>
        <w:tc>
          <w:tcPr>
            <w:tcW w:w="1146"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批</w:t>
            </w:r>
          </w:p>
        </w:tc>
        <w:tc>
          <w:tcPr>
            <w:tcW w:w="1449"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450000</w:t>
            </w:r>
          </w:p>
        </w:tc>
        <w:tc>
          <w:tcPr>
            <w:tcW w:w="1670"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bl>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报价明细清单：</w:t>
      </w:r>
    </w:p>
    <w:tbl>
      <w:tblPr>
        <w:tblStyle w:val="20"/>
        <w:tblW w:w="492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49"/>
        <w:gridCol w:w="4694"/>
        <w:gridCol w:w="1741"/>
        <w:gridCol w:w="14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35"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合同包</w:t>
            </w:r>
          </w:p>
        </w:tc>
        <w:tc>
          <w:tcPr>
            <w:tcW w:w="534"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品目号</w:t>
            </w:r>
          </w:p>
        </w:tc>
        <w:tc>
          <w:tcPr>
            <w:tcW w:w="2390"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货物</w:t>
            </w:r>
            <w:r>
              <w:rPr>
                <w:rFonts w:hint="eastAsia" w:asciiTheme="minorEastAsia" w:hAnsiTheme="minorEastAsia" w:eastAsiaTheme="minorEastAsia" w:cstheme="minorEastAsia"/>
                <w:bCs/>
                <w:color w:val="auto"/>
                <w:sz w:val="24"/>
                <w:szCs w:val="24"/>
                <w:highlight w:val="none"/>
              </w:rPr>
              <w:t>名称</w:t>
            </w:r>
          </w:p>
        </w:tc>
        <w:tc>
          <w:tcPr>
            <w:tcW w:w="886"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数量</w:t>
            </w:r>
          </w:p>
        </w:tc>
        <w:tc>
          <w:tcPr>
            <w:tcW w:w="752"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35" w:type="pct"/>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1</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bCs/>
                <w:color w:val="auto"/>
                <w:sz w:val="24"/>
                <w:szCs w:val="24"/>
                <w:highlight w:val="none"/>
                <w:lang w:val="en-US" w:eastAsia="zh-CN"/>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工业单冷机主机</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冷却塔</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分支供水/回水管</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1-4</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主循环管</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745</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循环泵</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1-6</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冷凝水管</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384</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1-7</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冷却塔电箱</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1-8</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
              </w:rPr>
              <w:t>内外机</w:t>
            </w:r>
            <w:r>
              <w:rPr>
                <w:rFonts w:hint="eastAsia" w:asciiTheme="minorEastAsia" w:hAnsiTheme="minorEastAsia" w:eastAsiaTheme="minorEastAsia" w:cstheme="minorEastAsia"/>
                <w:color w:val="auto"/>
                <w:kern w:val="0"/>
                <w:sz w:val="24"/>
                <w:szCs w:val="24"/>
                <w:highlight w:val="none"/>
                <w:lang w:bidi="ar"/>
              </w:rPr>
              <w:t>电源线</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1050</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1-9</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水塔开关</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1-10</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水泵开关</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2"/>
                <w:sz w:val="24"/>
                <w:szCs w:val="24"/>
                <w:highlight w:val="none"/>
                <w:lang w:val="en-US" w:eastAsia="zh-CN" w:bidi="ar-SA"/>
              </w:rPr>
            </w:pPr>
          </w:p>
        </w:tc>
        <w:tc>
          <w:tcPr>
            <w:tcW w:w="534"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1-11</w:t>
            </w:r>
          </w:p>
        </w:tc>
        <w:tc>
          <w:tcPr>
            <w:tcW w:w="2390"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主机开关</w:t>
            </w:r>
          </w:p>
        </w:tc>
        <w:tc>
          <w:tcPr>
            <w:tcW w:w="88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752"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3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bCs/>
                <w:color w:val="auto"/>
                <w:sz w:val="24"/>
                <w:szCs w:val="24"/>
                <w:highlight w:val="none"/>
                <w:lang w:val="en-US" w:eastAsia="zh-CN"/>
              </w:rPr>
            </w:pPr>
          </w:p>
        </w:tc>
        <w:tc>
          <w:tcPr>
            <w:tcW w:w="53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1-12</w:t>
            </w:r>
          </w:p>
        </w:tc>
        <w:tc>
          <w:tcPr>
            <w:tcW w:w="239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辅材</w:t>
            </w:r>
          </w:p>
        </w:tc>
        <w:tc>
          <w:tcPr>
            <w:tcW w:w="886"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752"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r>
    </w:tbl>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（三）本项目合同包成交候选人数量：1名。</w:t>
      </w:r>
    </w:p>
    <w:p>
      <w:pPr>
        <w:pStyle w:val="1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（四）报价要求</w:t>
      </w:r>
    </w:p>
    <w:p>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color w:val="auto"/>
          <w:sz w:val="24"/>
          <w:highlight w:val="none"/>
        </w:rPr>
      </w:pPr>
      <w:r>
        <w:rPr>
          <w:rFonts w:hint="eastAsia" w:ascii="宋体" w:hAnsi="宋体" w:eastAsia="宋体" w:cs="宋体"/>
          <w:bCs/>
          <w:color w:val="auto"/>
          <w:kern w:val="2"/>
          <w:sz w:val="24"/>
          <w:szCs w:val="24"/>
          <w:highlight w:val="none"/>
          <w:lang w:val="en-US" w:eastAsia="zh-CN" w:bidi="ar-SA"/>
        </w:rPr>
        <w:t>1、供应商应按项目总价报价，</w:t>
      </w:r>
      <w:r>
        <w:rPr>
          <w:rFonts w:ascii="宋体" w:hAnsi="宋体" w:cs="宋体"/>
          <w:color w:val="auto"/>
          <w:sz w:val="24"/>
          <w:highlight w:val="none"/>
        </w:rPr>
        <w:t>在符合采购需求且报价有效的前提下，总报价最低者成交。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2、供应商响应文件须完整填报所投产品品牌、规格/型号、生产厂家等信息，缺项、漏项或信息不全的，</w:t>
      </w:r>
      <w:r>
        <w:rPr>
          <w:rFonts w:hint="eastAsia" w:ascii="宋体" w:hAnsi="宋体" w:cs="宋体"/>
          <w:bCs/>
          <w:color w:val="auto"/>
          <w:kern w:val="2"/>
          <w:sz w:val="24"/>
          <w:szCs w:val="24"/>
          <w:highlight w:val="none"/>
          <w:lang w:val="en-US" w:eastAsia="zh-CN" w:bidi="ar-SA"/>
        </w:rPr>
        <w:t>否则</w:t>
      </w:r>
      <w:r>
        <w:rPr>
          <w:rFonts w:hint="eastAsia" w:ascii="宋体" w:hAnsi="宋体" w:eastAsia="宋体" w:cs="宋体"/>
          <w:bCs/>
          <w:color w:val="auto"/>
          <w:kern w:val="2"/>
          <w:sz w:val="24"/>
          <w:szCs w:val="24"/>
          <w:highlight w:val="none"/>
          <w:lang w:val="en-US" w:eastAsia="zh-CN" w:bidi="ar-SA"/>
        </w:rPr>
        <w:t>视为无效</w:t>
      </w:r>
      <w:r>
        <w:rPr>
          <w:rFonts w:hint="eastAsia" w:ascii="宋体" w:hAnsi="宋体" w:cs="宋体"/>
          <w:bCs/>
          <w:color w:val="auto"/>
          <w:kern w:val="2"/>
          <w:sz w:val="24"/>
          <w:szCs w:val="24"/>
          <w:highlight w:val="none"/>
          <w:lang w:val="en-US" w:eastAsia="zh-CN" w:bidi="ar-SA"/>
        </w:rPr>
        <w:t>响应</w:t>
      </w:r>
      <w:r>
        <w:rPr>
          <w:rFonts w:hint="eastAsia" w:ascii="宋体" w:hAnsi="宋体" w:eastAsia="宋体" w:cs="宋体"/>
          <w:bCs/>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、竞价过程中，</w:t>
      </w:r>
      <w:r>
        <w:rPr>
          <w:rFonts w:hint="eastAsia" w:ascii="宋体" w:hAnsi="宋体" w:cs="宋体"/>
          <w:color w:val="auto"/>
          <w:sz w:val="24"/>
          <w:highlight w:val="none"/>
          <w:lang w:val="en-US" w:eastAsia="zh-CN"/>
        </w:rPr>
        <w:t>供应商</w:t>
      </w:r>
      <w:r>
        <w:rPr>
          <w:rFonts w:ascii="宋体" w:hAnsi="宋体" w:cs="宋体"/>
          <w:color w:val="auto"/>
          <w:sz w:val="24"/>
          <w:highlight w:val="none"/>
        </w:rPr>
        <w:t>每次报价必须比自己上次的报价低。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、符合以上相关要求的报价，可以在规定的报价时限内不限次数报价，直到竞价截止时间为止。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lang w:val="en-US" w:eastAsia="zh-CN"/>
        </w:rPr>
        <w:t>供应商</w:t>
      </w:r>
      <w:r>
        <w:rPr>
          <w:rFonts w:ascii="宋体" w:hAnsi="宋体" w:cs="宋体"/>
          <w:color w:val="auto"/>
          <w:sz w:val="24"/>
          <w:highlight w:val="none"/>
        </w:rPr>
        <w:t>已详细审查全部竞价公告，包括修改竞价公告(如有的话)和有关附件，将自行承担因对全部竞价公告理解不正确或误解而产生的相应后果。</w:t>
      </w:r>
    </w:p>
    <w:p>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、合同期内不调价。成交</w:t>
      </w:r>
      <w:r>
        <w:rPr>
          <w:rFonts w:hint="eastAsia" w:ascii="宋体" w:hAnsi="宋体" w:cs="宋体"/>
          <w:color w:val="auto"/>
          <w:sz w:val="24"/>
          <w:highlight w:val="none"/>
          <w:lang w:val="en-US" w:eastAsia="zh-CN"/>
        </w:rPr>
        <w:t>人</w:t>
      </w:r>
      <w:r>
        <w:rPr>
          <w:rFonts w:ascii="宋体" w:hAnsi="宋体" w:cs="宋体"/>
          <w:color w:val="auto"/>
          <w:sz w:val="24"/>
          <w:highlight w:val="none"/>
        </w:rPr>
        <w:t>不得擅自增加、变更、提高结算项目及结算标准。</w:t>
      </w:r>
      <w:r>
        <w:rPr>
          <w:rFonts w:hint="eastAsia" w:ascii="宋体" w:hAnsi="宋体" w:cs="宋体"/>
          <w:color w:val="auto"/>
          <w:sz w:val="24"/>
          <w:highlight w:val="none"/>
          <w:lang w:val="en-US" w:eastAsia="zh-CN"/>
        </w:rPr>
        <w:t>供应商</w:t>
      </w:r>
      <w:r>
        <w:rPr>
          <w:rFonts w:ascii="宋体" w:hAnsi="宋体" w:cs="宋体"/>
          <w:color w:val="auto"/>
          <w:sz w:val="24"/>
          <w:highlight w:val="none"/>
        </w:rPr>
        <w:t>应充分考虑因合同期间的总价费用风险并承担带来的经营风险。</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二、技术和服务要求</w:t>
      </w:r>
    </w:p>
    <w:tbl>
      <w:tblPr>
        <w:tblStyle w:val="20"/>
        <w:tblpPr w:leftFromText="180" w:rightFromText="180" w:vertAnchor="text" w:horzAnchor="page" w:tblpX="917" w:tblpY="682"/>
        <w:tblOverlap w:val="never"/>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81"/>
        <w:gridCol w:w="907"/>
        <w:gridCol w:w="554"/>
        <w:gridCol w:w="553"/>
        <w:gridCol w:w="618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43"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合同包</w:t>
            </w:r>
          </w:p>
        </w:tc>
        <w:tc>
          <w:tcPr>
            <w:tcW w:w="442"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品目号</w:t>
            </w:r>
          </w:p>
        </w:tc>
        <w:tc>
          <w:tcPr>
            <w:tcW w:w="455"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货物</w:t>
            </w:r>
            <w:r>
              <w:rPr>
                <w:rFonts w:hint="eastAsia" w:ascii="宋体" w:hAnsi="宋体" w:eastAsia="宋体" w:cs="宋体"/>
                <w:bCs/>
                <w:color w:val="auto"/>
                <w:sz w:val="24"/>
                <w:szCs w:val="24"/>
                <w:highlight w:val="none"/>
              </w:rPr>
              <w:t>名称</w:t>
            </w:r>
          </w:p>
        </w:tc>
        <w:tc>
          <w:tcPr>
            <w:tcW w:w="278"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数量</w:t>
            </w:r>
          </w:p>
        </w:tc>
        <w:tc>
          <w:tcPr>
            <w:tcW w:w="277"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p>
        </w:tc>
        <w:tc>
          <w:tcPr>
            <w:tcW w:w="3102"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2" w:hRule="atLeast"/>
        </w:trPr>
        <w:tc>
          <w:tcPr>
            <w:tcW w:w="443" w:type="pct"/>
            <w:vMerge w:val="restar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bCs/>
                <w:color w:val="auto"/>
                <w:sz w:val="24"/>
                <w:szCs w:val="24"/>
                <w:highlight w:val="none"/>
                <w:lang w:val="en-US" w:eastAsia="zh-CN"/>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工业单冷机主机</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18</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1.制冷量≥35KW；</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2.最大风量≥7000m³/h;</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3.电压/电流：380V；电流≥11A；</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4.送风距离：15-20米；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5.采用R22冷媒；</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6.采用离心风机；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7.具有高低压保护；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8.具有过载保护；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9.具有防冻结保护；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10.具有压缩机延时保护；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11.额定功率：≥6KW；</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12.外壳为热镀锌板材质，底板为双层不锈钢材质；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13.采用涡旋式压缩机；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14.冷凝器采用纯铜厚度为≥1.0mm铜管；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15.冷凝器整体为三排铜管L型布局；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16.采用四孔射流风口，风口直径≥150mm;</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17.具备除尘、除湿、通风、制冷四个功能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冷却塔</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1.流量</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60t/h；</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2.支柱数量</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:8支；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3.外壳材料：玻璃钢，厚度：4mm±0.2mm；</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4.功率</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1.5KW；</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5.含法兰、活接、直接、弯头等；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分支供水/回水管</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1.材料符合国标PPR管要求；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2.含弯头、三通、直接等；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主循环管</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745</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1.材料符合国标PPR管要求；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2.含弯头、三通、直接等；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循环泵</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1.流量≥60m³/h；</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2.扬程≥30m；</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3.功率≥7.5KW；</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4.转速≥1450转/分钟；</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5.泵体铸铁HT200，叶轮不锈钢；</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6.含法兰、接头、垫片等；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1-6</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冷凝水管</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384</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1.材料符合国标PVC管要求；</w:t>
            </w:r>
          </w:p>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2壁厚：≥3.5mm；</w:t>
            </w:r>
          </w:p>
          <w:p>
            <w:pPr>
              <w:pStyle w:val="33"/>
              <w:pageBreakBefore w:val="0"/>
              <w:numPr>
                <w:ilvl w:val="4"/>
                <w:numId w:val="0"/>
              </w:numPr>
              <w:kinsoku/>
              <w:wordWrap/>
              <w:overflowPunct/>
              <w:topLinePunct w:val="0"/>
              <w:autoSpaceDE/>
              <w:autoSpaceDN/>
              <w:bidi w:val="0"/>
              <w:adjustRightInd w:val="0"/>
              <w:snapToGrid w:val="0"/>
              <w:spacing w:before="0" w:beforeAutospacing="0" w:after="0" w:afterAutospacing="0" w:line="3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3.含保温棉、弯头、三通、直接等；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冷却塔电箱</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1.规格：800mm</w:t>
            </w:r>
            <w:r>
              <w:rPr>
                <w:rFonts w:hint="eastAsia" w:ascii="宋体" w:hAnsi="宋体" w:eastAsia="宋体" w:cs="宋体"/>
                <w:b w:val="0"/>
                <w:bCs w:val="0"/>
                <w:color w:val="auto"/>
                <w:sz w:val="24"/>
                <w:szCs w:val="24"/>
                <w:highlight w:val="none"/>
                <w:lang w:val="en-US" w:eastAsia="zh-CN"/>
              </w:rPr>
              <w:t>±10mm×</w:t>
            </w:r>
            <w:r>
              <w:rPr>
                <w:rFonts w:hint="eastAsia" w:ascii="宋体" w:hAnsi="宋体" w:eastAsia="宋体" w:cs="宋体"/>
                <w:b w:val="0"/>
                <w:bCs/>
                <w:color w:val="auto"/>
                <w:kern w:val="2"/>
                <w:sz w:val="24"/>
                <w:szCs w:val="24"/>
                <w:highlight w:val="none"/>
                <w:lang w:val="en-US" w:eastAsia="zh-CN" w:bidi="ar-SA"/>
              </w:rPr>
              <w:t>1000mm</w:t>
            </w:r>
            <w:r>
              <w:rPr>
                <w:rFonts w:hint="eastAsia" w:ascii="宋体" w:hAnsi="宋体" w:eastAsia="宋体" w:cs="宋体"/>
                <w:b w:val="0"/>
                <w:bCs w:val="0"/>
                <w:color w:val="auto"/>
                <w:sz w:val="24"/>
                <w:szCs w:val="24"/>
                <w:highlight w:val="none"/>
                <w:lang w:val="en-US" w:eastAsia="zh-CN"/>
              </w:rPr>
              <w:t>±10mm×</w:t>
            </w:r>
            <w:r>
              <w:rPr>
                <w:rFonts w:hint="eastAsia" w:ascii="宋体" w:hAnsi="宋体" w:eastAsia="宋体" w:cs="宋体"/>
                <w:b w:val="0"/>
                <w:bCs/>
                <w:color w:val="auto"/>
                <w:kern w:val="2"/>
                <w:sz w:val="24"/>
                <w:szCs w:val="24"/>
                <w:highlight w:val="none"/>
                <w:lang w:val="en-US" w:eastAsia="zh-CN" w:bidi="ar-SA"/>
              </w:rPr>
              <w:t>200mm</w:t>
            </w:r>
            <w:r>
              <w:rPr>
                <w:rFonts w:hint="eastAsia" w:ascii="宋体" w:hAnsi="宋体" w:eastAsia="宋体" w:cs="宋体"/>
                <w:b w:val="0"/>
                <w:bCs w:val="0"/>
                <w:color w:val="auto"/>
                <w:sz w:val="24"/>
                <w:szCs w:val="24"/>
                <w:highlight w:val="none"/>
                <w:lang w:val="en-US" w:eastAsia="zh-CN"/>
              </w:rPr>
              <w:t>±10mm</w:t>
            </w:r>
            <w:r>
              <w:rPr>
                <w:rFonts w:hint="eastAsia" w:ascii="宋体" w:hAnsi="宋体" w:eastAsia="宋体" w:cs="宋体"/>
                <w:b w:val="0"/>
                <w:bCs/>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2.材质不锈钢板，壁厚≥1mm；</w:t>
            </w:r>
          </w:p>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color w:val="auto"/>
                <w:kern w:val="2"/>
                <w:sz w:val="24"/>
                <w:szCs w:val="24"/>
                <w:highlight w:val="none"/>
                <w:lang w:val="en-US" w:eastAsia="zh-CN" w:bidi="ar-SA"/>
              </w:rPr>
              <w:t>3.配套标准安装附件。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1-8</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内外机</w:t>
            </w:r>
            <w:r>
              <w:rPr>
                <w:rFonts w:hint="eastAsia" w:ascii="宋体" w:hAnsi="宋体" w:eastAsia="宋体" w:cs="宋体"/>
                <w:color w:val="auto"/>
                <w:kern w:val="0"/>
                <w:sz w:val="24"/>
                <w:szCs w:val="24"/>
                <w:highlight w:val="none"/>
                <w:lang w:bidi="ar"/>
              </w:rPr>
              <w:t>电源线</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1050</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1.材料符合相关国标要求；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2.规格：≥（3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4+1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1.5）-PE1.5</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3.YJV铜芯交联聚乙烯绝缘聚氯乙烯护套电力电缆；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4.含接头、线管、弯头等；；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5.每台单独电线到电箱，独立控制；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1-9</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水塔开关</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1.材料符合相关国标要求；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2.电流：≥25A；</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3.相数：三相；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4.含接头、固定块等；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1-10</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水泵开关</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1.材料符合相关国标要求；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2.电流：≥63A；</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3.相数：三相；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4.含接头、固定块等；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1-11</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主机开关</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1.材料符合相关国标要求；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2.电流：≥63A</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3.相数：三相；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4.含接头、固定块等；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bCs/>
                <w:color w:val="auto"/>
                <w:sz w:val="24"/>
                <w:szCs w:val="24"/>
                <w:highlight w:val="none"/>
                <w:lang w:val="en-US" w:eastAsia="zh-CN"/>
              </w:rPr>
            </w:pPr>
          </w:p>
        </w:tc>
        <w:tc>
          <w:tcPr>
            <w:tcW w:w="442"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1-12</w:t>
            </w:r>
          </w:p>
        </w:tc>
        <w:tc>
          <w:tcPr>
            <w:tcW w:w="455"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辅材</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1.按实际安装需求配套；</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2.含升降机、丝杠、叉车、墙面开孔等；</w:t>
            </w:r>
          </w:p>
        </w:tc>
      </w:tr>
    </w:tbl>
    <w:p>
      <w:pPr>
        <w:spacing w:line="40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备注：上述参数涉及尺寸、体积、重量等数据的，除有明确要求外，允许数据正负偏离5%，允许性能正偏离。</w:t>
      </w:r>
    </w:p>
    <w:p>
      <w:pPr>
        <w:keepNext w:val="0"/>
        <w:keepLines w:val="0"/>
        <w:pageBreakBefore w:val="0"/>
        <w:kinsoku/>
        <w:overflowPunct/>
        <w:topLinePunct w:val="0"/>
        <w:bidi w:val="0"/>
        <w:adjustRightInd/>
        <w:snapToGrid/>
        <w:spacing w:line="360" w:lineRule="auto"/>
        <w:jc w:val="left"/>
        <w:textAlignment w:val="auto"/>
        <w:rPr>
          <w:rFonts w:ascii="宋体" w:hAnsi="宋体" w:cs="宋体"/>
          <w:b/>
          <w:color w:val="auto"/>
          <w:sz w:val="24"/>
          <w:highlight w:val="none"/>
        </w:rPr>
      </w:pPr>
      <w:r>
        <w:rPr>
          <w:rFonts w:hint="eastAsia" w:ascii="宋体" w:hAnsi="宋体" w:cs="宋体"/>
          <w:b/>
          <w:bCs/>
          <w:color w:val="auto"/>
          <w:kern w:val="0"/>
          <w:sz w:val="24"/>
          <w:highlight w:val="none"/>
        </w:rPr>
        <w:t>三、商务要求</w:t>
      </w:r>
      <w:r>
        <w:rPr>
          <w:rFonts w:hint="eastAsia" w:ascii="宋体" w:hAnsi="宋体" w:cs="宋体"/>
          <w:b/>
          <w:color w:val="auto"/>
          <w:sz w:val="24"/>
          <w:highlight w:val="none"/>
        </w:rPr>
        <w:t>（下述所有要求均为不允许偏离的实质性要求，若负偏离则按无效报价处理。）</w:t>
      </w:r>
    </w:p>
    <w:p>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2"/>
          <w:rFonts w:hint="eastAsia" w:asciiTheme="minorEastAsia" w:hAnsiTheme="minorEastAsia" w:eastAsiaTheme="minorEastAsia" w:cstheme="minorEastAsia"/>
          <w:b w:val="0"/>
          <w:bCs w:val="0"/>
          <w:color w:val="auto"/>
          <w:kern w:val="0"/>
          <w:sz w:val="24"/>
          <w:highlight w:val="none"/>
        </w:rPr>
      </w:pPr>
      <w:r>
        <w:rPr>
          <w:rStyle w:val="22"/>
          <w:rFonts w:hint="eastAsia" w:asciiTheme="minorEastAsia" w:hAnsiTheme="minorEastAsia" w:eastAsiaTheme="minorEastAsia" w:cstheme="minorEastAsia"/>
          <w:color w:val="auto"/>
          <w:highlight w:val="none"/>
        </w:rPr>
        <w:t>1、交付地点：</w:t>
      </w:r>
      <w:r>
        <w:rPr>
          <w:rStyle w:val="22"/>
          <w:rFonts w:hint="eastAsia" w:asciiTheme="minorEastAsia" w:hAnsiTheme="minorEastAsia" w:eastAsiaTheme="minorEastAsia" w:cstheme="minorEastAsia"/>
          <w:b w:val="0"/>
          <w:bCs w:val="0"/>
          <w:color w:val="auto"/>
          <w:highlight w:val="none"/>
          <w:lang w:eastAsia="zh-CN"/>
        </w:rPr>
        <w:t>福建省龙岩市新罗区凤凰北路2号</w:t>
      </w:r>
      <w:r>
        <w:rPr>
          <w:rStyle w:val="22"/>
          <w:rFonts w:hint="eastAsia" w:asciiTheme="minorEastAsia" w:hAnsiTheme="minorEastAsia" w:eastAsiaTheme="minorEastAsia" w:cstheme="minorEastAsia"/>
          <w:b w:val="0"/>
          <w:bCs w:val="0"/>
          <w:color w:val="auto"/>
          <w:highlight w:val="none"/>
        </w:rPr>
        <w:t>，</w:t>
      </w:r>
      <w:r>
        <w:rPr>
          <w:rStyle w:val="22"/>
          <w:rFonts w:hint="eastAsia" w:asciiTheme="minorEastAsia" w:hAnsiTheme="minorEastAsia" w:eastAsiaTheme="minorEastAsia" w:cstheme="minorEastAsia"/>
          <w:b w:val="0"/>
          <w:bCs w:val="0"/>
          <w:color w:val="auto"/>
          <w:highlight w:val="none"/>
          <w:lang w:val="en-US" w:eastAsia="zh-CN"/>
        </w:rPr>
        <w:t>具体以</w:t>
      </w:r>
      <w:r>
        <w:rPr>
          <w:rStyle w:val="22"/>
          <w:rFonts w:hint="eastAsia" w:asciiTheme="minorEastAsia" w:hAnsiTheme="minorEastAsia" w:eastAsiaTheme="minorEastAsia" w:cstheme="minorEastAsia"/>
          <w:b w:val="0"/>
          <w:bCs w:val="0"/>
          <w:color w:val="auto"/>
          <w:highlight w:val="none"/>
        </w:rPr>
        <w:t>采购人指定地点</w:t>
      </w:r>
      <w:r>
        <w:rPr>
          <w:rStyle w:val="22"/>
          <w:rFonts w:hint="eastAsia" w:asciiTheme="minorEastAsia" w:hAnsiTheme="minorEastAsia" w:eastAsiaTheme="minorEastAsia" w:cstheme="minorEastAsia"/>
          <w:b w:val="0"/>
          <w:bCs w:val="0"/>
          <w:color w:val="auto"/>
          <w:highlight w:val="none"/>
          <w:lang w:val="en-US" w:eastAsia="zh-CN"/>
        </w:rPr>
        <w:t>为准</w:t>
      </w:r>
      <w:r>
        <w:rPr>
          <w:rStyle w:val="22"/>
          <w:rFonts w:hint="eastAsia" w:asciiTheme="minorEastAsia" w:hAnsiTheme="minorEastAsia" w:eastAsiaTheme="minorEastAsia" w:cstheme="minorEastAsia"/>
          <w:b w:val="0"/>
          <w:bCs w:val="0"/>
          <w:color w:val="auto"/>
          <w:highlight w:val="none"/>
        </w:rPr>
        <w:t>。</w:t>
      </w:r>
    </w:p>
    <w:p>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2"/>
          <w:rFonts w:hint="eastAsia" w:asciiTheme="minorEastAsia" w:hAnsiTheme="minorEastAsia" w:eastAsiaTheme="minorEastAsia" w:cstheme="minorEastAsia"/>
          <w:color w:val="auto"/>
          <w:highlight w:val="none"/>
        </w:rPr>
      </w:pPr>
      <w:r>
        <w:rPr>
          <w:rStyle w:val="22"/>
          <w:rFonts w:hint="eastAsia" w:asciiTheme="minorEastAsia" w:hAnsiTheme="minorEastAsia" w:eastAsiaTheme="minorEastAsia" w:cstheme="minorEastAsia"/>
          <w:color w:val="auto"/>
          <w:highlight w:val="none"/>
        </w:rPr>
        <w:t>2、</w:t>
      </w:r>
      <w:r>
        <w:rPr>
          <w:rStyle w:val="22"/>
          <w:rFonts w:hint="eastAsia" w:asciiTheme="minorEastAsia" w:hAnsiTheme="minorEastAsia" w:eastAsiaTheme="minorEastAsia" w:cstheme="minorEastAsia"/>
          <w:color w:val="auto"/>
          <w:highlight w:val="none"/>
          <w:lang w:val="en-US" w:eastAsia="zh-CN"/>
        </w:rPr>
        <w:t>交货时间</w:t>
      </w:r>
      <w:r>
        <w:rPr>
          <w:rStyle w:val="22"/>
          <w:rFonts w:hint="eastAsia" w:asciiTheme="minorEastAsia" w:hAnsiTheme="minorEastAsia" w:eastAsiaTheme="minorEastAsia" w:cstheme="minorEastAsia"/>
          <w:color w:val="auto"/>
          <w:highlight w:val="none"/>
        </w:rPr>
        <w:t>：</w:t>
      </w:r>
      <w:r>
        <w:rPr>
          <w:rStyle w:val="22"/>
          <w:rFonts w:hint="eastAsia" w:asciiTheme="minorEastAsia" w:hAnsiTheme="minorEastAsia" w:eastAsiaTheme="minorEastAsia" w:cstheme="minorEastAsia"/>
          <w:b w:val="0"/>
          <w:bCs w:val="0"/>
          <w:color w:val="auto"/>
          <w:highlight w:val="none"/>
        </w:rPr>
        <w:t>合同签订后</w:t>
      </w:r>
      <w:r>
        <w:rPr>
          <w:rStyle w:val="22"/>
          <w:rFonts w:hint="eastAsia" w:asciiTheme="minorEastAsia" w:hAnsiTheme="minorEastAsia" w:eastAsiaTheme="minorEastAsia" w:cstheme="minorEastAsia"/>
          <w:b w:val="0"/>
          <w:bCs w:val="0"/>
          <w:color w:val="auto"/>
          <w:highlight w:val="none"/>
          <w:lang w:val="en-US" w:eastAsia="zh-CN"/>
        </w:rPr>
        <w:t>30</w:t>
      </w:r>
      <w:r>
        <w:rPr>
          <w:rStyle w:val="22"/>
          <w:rFonts w:hint="eastAsia" w:asciiTheme="minorEastAsia" w:hAnsiTheme="minorEastAsia" w:eastAsiaTheme="minorEastAsia" w:cstheme="minorEastAsia"/>
          <w:b w:val="0"/>
          <w:bCs w:val="0"/>
          <w:color w:val="auto"/>
          <w:highlight w:val="none"/>
        </w:rPr>
        <w:t>天</w:t>
      </w:r>
      <w:r>
        <w:rPr>
          <w:rStyle w:val="22"/>
          <w:rFonts w:hint="eastAsia" w:asciiTheme="minorEastAsia" w:hAnsiTheme="minorEastAsia" w:eastAsiaTheme="minorEastAsia" w:cstheme="minorEastAsia"/>
          <w:b w:val="0"/>
          <w:bCs w:val="0"/>
          <w:color w:val="auto"/>
          <w:highlight w:val="none"/>
          <w:lang w:eastAsia="zh-CN"/>
        </w:rPr>
        <w:t>（</w:t>
      </w:r>
      <w:r>
        <w:rPr>
          <w:rStyle w:val="22"/>
          <w:rFonts w:hint="eastAsia" w:asciiTheme="minorEastAsia" w:hAnsiTheme="minorEastAsia" w:eastAsiaTheme="minorEastAsia" w:cstheme="minorEastAsia"/>
          <w:b w:val="0"/>
          <w:bCs w:val="0"/>
          <w:color w:val="auto"/>
          <w:highlight w:val="none"/>
          <w:lang w:val="en-US" w:eastAsia="zh-CN"/>
        </w:rPr>
        <w:t>自然日</w:t>
      </w:r>
      <w:r>
        <w:rPr>
          <w:rStyle w:val="22"/>
          <w:rFonts w:hint="eastAsia" w:asciiTheme="minorEastAsia" w:hAnsiTheme="minorEastAsia" w:eastAsiaTheme="minorEastAsia" w:cstheme="minorEastAsia"/>
          <w:b w:val="0"/>
          <w:bCs w:val="0"/>
          <w:color w:val="auto"/>
          <w:highlight w:val="none"/>
          <w:lang w:eastAsia="zh-CN"/>
        </w:rPr>
        <w:t>）</w:t>
      </w:r>
      <w:r>
        <w:rPr>
          <w:rStyle w:val="22"/>
          <w:rFonts w:hint="eastAsia" w:asciiTheme="minorEastAsia" w:hAnsiTheme="minorEastAsia" w:eastAsiaTheme="minorEastAsia" w:cstheme="minorEastAsia"/>
          <w:b w:val="0"/>
          <w:bCs w:val="0"/>
          <w:color w:val="auto"/>
          <w:highlight w:val="none"/>
        </w:rPr>
        <w:t>内完成供货安装并调试完毕，具备</w:t>
      </w:r>
      <w:r>
        <w:rPr>
          <w:rStyle w:val="22"/>
          <w:rFonts w:hint="eastAsia" w:asciiTheme="minorEastAsia" w:hAnsiTheme="minorEastAsia" w:eastAsiaTheme="minorEastAsia" w:cstheme="minorEastAsia"/>
          <w:b w:val="0"/>
          <w:bCs w:val="0"/>
          <w:color w:val="auto"/>
          <w:highlight w:val="none"/>
          <w:lang w:val="en-US" w:eastAsia="zh-CN"/>
        </w:rPr>
        <w:t>试运行</w:t>
      </w:r>
      <w:r>
        <w:rPr>
          <w:rStyle w:val="22"/>
          <w:rFonts w:hint="eastAsia" w:asciiTheme="minorEastAsia" w:hAnsiTheme="minorEastAsia" w:eastAsiaTheme="minorEastAsia" w:cstheme="minorEastAsia"/>
          <w:b w:val="0"/>
          <w:bCs w:val="0"/>
          <w:color w:val="auto"/>
          <w:highlight w:val="none"/>
        </w:rPr>
        <w:t>条件</w:t>
      </w:r>
      <w:r>
        <w:rPr>
          <w:rFonts w:hint="eastAsia" w:asciiTheme="minorEastAsia" w:hAnsiTheme="minorEastAsia" w:eastAsiaTheme="minorEastAsia" w:cstheme="minorEastAsia"/>
          <w:b w:val="0"/>
          <w:bCs w:val="0"/>
          <w:color w:val="auto"/>
          <w:highlight w:val="none"/>
        </w:rPr>
        <w:t>。</w:t>
      </w:r>
    </w:p>
    <w:p>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2"/>
          <w:rFonts w:hint="eastAsia" w:asciiTheme="minorEastAsia" w:hAnsiTheme="minorEastAsia" w:eastAsiaTheme="minorEastAsia" w:cstheme="minorEastAsia"/>
          <w:b w:val="0"/>
          <w:bCs w:val="0"/>
          <w:color w:val="auto"/>
          <w:highlight w:val="none"/>
        </w:rPr>
      </w:pPr>
      <w:r>
        <w:rPr>
          <w:rStyle w:val="22"/>
          <w:rFonts w:hint="eastAsia" w:asciiTheme="minorEastAsia" w:hAnsiTheme="minorEastAsia" w:eastAsiaTheme="minorEastAsia" w:cstheme="minorEastAsia"/>
          <w:color w:val="auto"/>
          <w:highlight w:val="none"/>
        </w:rPr>
        <w:t>3、交货条件：</w:t>
      </w:r>
      <w:r>
        <w:rPr>
          <w:rStyle w:val="22"/>
          <w:rFonts w:hint="eastAsia" w:asciiTheme="minorEastAsia" w:hAnsiTheme="minorEastAsia" w:eastAsiaTheme="minorEastAsia" w:cstheme="minorEastAsia"/>
          <w:b w:val="0"/>
          <w:bCs w:val="0"/>
          <w:color w:val="auto"/>
          <w:highlight w:val="none"/>
          <w:lang w:val="en-US" w:eastAsia="zh-CN"/>
        </w:rPr>
        <w:t>初验</w:t>
      </w:r>
      <w:r>
        <w:rPr>
          <w:rStyle w:val="22"/>
          <w:rFonts w:hint="eastAsia" w:asciiTheme="minorEastAsia" w:hAnsiTheme="minorEastAsia" w:eastAsiaTheme="minorEastAsia" w:cstheme="minorEastAsia"/>
          <w:b w:val="0"/>
          <w:bCs w:val="0"/>
          <w:color w:val="auto"/>
          <w:highlight w:val="none"/>
        </w:rPr>
        <w:t>合格交付</w:t>
      </w:r>
      <w:r>
        <w:rPr>
          <w:rStyle w:val="22"/>
          <w:rFonts w:hint="eastAsia" w:asciiTheme="minorEastAsia" w:hAnsiTheme="minorEastAsia" w:eastAsiaTheme="minorEastAsia" w:cstheme="minorEastAsia"/>
          <w:b w:val="0"/>
          <w:bCs w:val="0"/>
          <w:color w:val="auto"/>
          <w:highlight w:val="none"/>
          <w:lang w:val="en-US" w:eastAsia="zh-CN"/>
        </w:rPr>
        <w:t>试运行</w:t>
      </w:r>
      <w:r>
        <w:rPr>
          <w:rStyle w:val="22"/>
          <w:rFonts w:hint="eastAsia" w:asciiTheme="minorEastAsia" w:hAnsiTheme="minorEastAsia" w:eastAsiaTheme="minorEastAsia" w:cstheme="minorEastAsia"/>
          <w:color w:val="auto"/>
          <w:highlight w:val="none"/>
        </w:rPr>
        <w:t>。</w:t>
      </w:r>
    </w:p>
    <w:p>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color w:val="auto"/>
          <w:szCs w:val="21"/>
          <w:highlight w:val="none"/>
          <w:lang w:val="en-US" w:eastAsia="zh-CN"/>
        </w:rPr>
      </w:pPr>
      <w:r>
        <w:rPr>
          <w:rStyle w:val="22"/>
          <w:rFonts w:hint="eastAsia" w:asciiTheme="minorEastAsia" w:hAnsiTheme="minorEastAsia" w:eastAsiaTheme="minorEastAsia" w:cstheme="minorEastAsia"/>
          <w:color w:val="auto"/>
          <w:highlight w:val="none"/>
        </w:rPr>
        <w:t>4、履约保证金</w:t>
      </w:r>
      <w:r>
        <w:rPr>
          <w:rStyle w:val="22"/>
          <w:rFonts w:hint="eastAsia" w:asciiTheme="minorEastAsia" w:hAnsiTheme="minorEastAsia" w:eastAsiaTheme="minorEastAsia" w:cstheme="minorEastAsia"/>
          <w:color w:val="auto"/>
          <w:highlight w:val="none"/>
          <w:lang w:val="en-US" w:eastAsia="zh-CN"/>
        </w:rPr>
        <w:t>:</w:t>
      </w:r>
    </w:p>
    <w:p>
      <w:pPr>
        <w:keepNext w:val="0"/>
        <w:keepLines w:val="0"/>
        <w:pageBreakBefore w:val="0"/>
        <w:kinsoku/>
        <w:overflowPunct/>
        <w:topLinePunct w:val="0"/>
        <w:bidi w:val="0"/>
        <w:adjustRightInd/>
        <w:snapToGrid/>
        <w:spacing w:beforeAutospacing="0" w:afterAutospacing="0" w:line="360" w:lineRule="auto"/>
        <w:ind w:firstLine="480" w:firstLineChars="200"/>
        <w:jc w:val="both"/>
        <w:textAlignment w:val="auto"/>
        <w:rPr>
          <w:rStyle w:val="22"/>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highlight w:val="none"/>
        </w:rPr>
        <w:t>履约保证金百分比：</w:t>
      </w:r>
      <w:r>
        <w:rPr>
          <w:rStyle w:val="22"/>
          <w:rFonts w:hint="eastAsia" w:asciiTheme="minorEastAsia" w:hAnsiTheme="minorEastAsia" w:eastAsiaTheme="minorEastAsia" w:cstheme="minorEastAsia"/>
          <w:b w:val="0"/>
          <w:bCs w:val="0"/>
          <w:color w:val="auto"/>
          <w:kern w:val="0"/>
          <w:sz w:val="24"/>
          <w:szCs w:val="24"/>
          <w:highlight w:val="none"/>
          <w:lang w:val="en-US" w:eastAsia="zh-CN" w:bidi="ar-SA"/>
        </w:rPr>
        <w:t>合同金额的5 %。说明：成交人在签订合同前以银行转账或无条件银行保函的形式向采购人缴纳合同总金额5%作为履约保证金。履约保证金在5年售后维保期满后且成交人无违约的前提下10个工作日内无息退还。</w:t>
      </w:r>
    </w:p>
    <w:p>
      <w:pPr>
        <w:keepNext w:val="0"/>
        <w:keepLines w:val="0"/>
        <w:pageBreakBefore w:val="0"/>
        <w:numPr>
          <w:ilvl w:val="0"/>
          <w:numId w:val="0"/>
        </w:numPr>
        <w:kinsoku/>
        <w:wordWrap w:val="0"/>
        <w:overflowPunct/>
        <w:topLinePunct w:val="0"/>
        <w:autoSpaceDE w:val="0"/>
        <w:autoSpaceDN w:val="0"/>
        <w:bidi w:val="0"/>
        <w:adjustRightInd/>
        <w:snapToGrid/>
        <w:spacing w:beforeAutospacing="0" w:afterAutospacing="0" w:line="360" w:lineRule="auto"/>
        <w:jc w:val="both"/>
        <w:textAlignment w:val="auto"/>
        <w:rPr>
          <w:rStyle w:val="22"/>
          <w:rFonts w:hint="eastAsia" w:asciiTheme="minorEastAsia" w:hAnsiTheme="minorEastAsia" w:eastAsiaTheme="minorEastAsia" w:cstheme="minorEastAsia"/>
          <w:b w:val="0"/>
          <w:bCs w:val="0"/>
          <w:color w:val="auto"/>
          <w:kern w:val="0"/>
          <w:sz w:val="24"/>
          <w:highlight w:val="none"/>
        </w:rPr>
      </w:pPr>
      <w:r>
        <w:rPr>
          <w:rStyle w:val="22"/>
          <w:rFonts w:hint="eastAsia" w:asciiTheme="minorEastAsia" w:hAnsiTheme="minorEastAsia" w:eastAsiaTheme="minorEastAsia" w:cstheme="minorEastAsia"/>
          <w:color w:val="auto"/>
          <w:kern w:val="0"/>
          <w:sz w:val="24"/>
          <w:highlight w:val="none"/>
          <w:lang w:val="en-US" w:eastAsia="zh-CN"/>
        </w:rPr>
        <w:t>5、</w:t>
      </w:r>
      <w:r>
        <w:rPr>
          <w:rStyle w:val="22"/>
          <w:rFonts w:hint="eastAsia" w:asciiTheme="minorEastAsia" w:hAnsiTheme="minorEastAsia" w:eastAsiaTheme="minorEastAsia" w:cstheme="minorEastAsia"/>
          <w:color w:val="auto"/>
          <w:kern w:val="0"/>
          <w:sz w:val="24"/>
          <w:highlight w:val="none"/>
        </w:rPr>
        <w:t>合同支付方式</w:t>
      </w:r>
      <w:r>
        <w:rPr>
          <w:rStyle w:val="22"/>
          <w:rFonts w:hint="eastAsia" w:asciiTheme="minorEastAsia" w:hAnsiTheme="minorEastAsia" w:eastAsiaTheme="minorEastAsia" w:cstheme="minorEastAsia"/>
          <w:color w:val="auto"/>
          <w:kern w:val="0"/>
          <w:sz w:val="24"/>
          <w:highlight w:val="none"/>
          <w:lang w:eastAsia="zh-CN"/>
        </w:rPr>
        <w:t>：</w:t>
      </w:r>
      <w:r>
        <w:rPr>
          <w:rStyle w:val="22"/>
          <w:rFonts w:hint="eastAsia" w:asciiTheme="minorEastAsia" w:hAnsiTheme="minorEastAsia" w:eastAsiaTheme="minorEastAsia" w:cstheme="minorEastAsia"/>
          <w:b w:val="0"/>
          <w:bCs w:val="0"/>
          <w:color w:val="auto"/>
          <w:kern w:val="0"/>
          <w:sz w:val="24"/>
          <w:highlight w:val="none"/>
          <w:lang w:eastAsia="zh-CN"/>
        </w:rPr>
        <w:t>货物安装、调试、验收合格后，成交人提交</w:t>
      </w:r>
      <w:r>
        <w:rPr>
          <w:rStyle w:val="22"/>
          <w:rFonts w:hint="eastAsia" w:asciiTheme="minorEastAsia" w:hAnsiTheme="minorEastAsia" w:eastAsiaTheme="minorEastAsia" w:cstheme="minorEastAsia"/>
          <w:b w:val="0"/>
          <w:bCs w:val="0"/>
          <w:color w:val="auto"/>
          <w:kern w:val="0"/>
          <w:sz w:val="24"/>
          <w:highlight w:val="none"/>
          <w:lang w:val="en-US" w:eastAsia="zh-CN"/>
        </w:rPr>
        <w:t>增值税专用发票</w:t>
      </w:r>
      <w:r>
        <w:rPr>
          <w:rStyle w:val="22"/>
          <w:rFonts w:hint="eastAsia" w:asciiTheme="minorEastAsia" w:hAnsiTheme="minorEastAsia" w:eastAsiaTheme="minorEastAsia" w:cstheme="minorEastAsia"/>
          <w:b w:val="0"/>
          <w:bCs w:val="0"/>
          <w:color w:val="auto"/>
          <w:kern w:val="0"/>
          <w:sz w:val="24"/>
          <w:highlight w:val="none"/>
          <w:lang w:eastAsia="zh-CN"/>
        </w:rPr>
        <w:t>等请款材料，达到付款条件起10日内，</w:t>
      </w:r>
      <w:r>
        <w:rPr>
          <w:rStyle w:val="22"/>
          <w:rFonts w:hint="eastAsia" w:asciiTheme="minorEastAsia" w:hAnsiTheme="minorEastAsia" w:eastAsiaTheme="minorEastAsia" w:cstheme="minorEastAsia"/>
          <w:b w:val="0"/>
          <w:bCs w:val="0"/>
          <w:color w:val="auto"/>
          <w:kern w:val="0"/>
          <w:sz w:val="24"/>
          <w:highlight w:val="none"/>
          <w:lang w:val="en-US" w:eastAsia="zh-CN"/>
        </w:rPr>
        <w:t>采购人</w:t>
      </w:r>
      <w:r>
        <w:rPr>
          <w:rStyle w:val="22"/>
          <w:rFonts w:hint="eastAsia" w:asciiTheme="minorEastAsia" w:hAnsiTheme="minorEastAsia" w:eastAsiaTheme="minorEastAsia" w:cstheme="minorEastAsia"/>
          <w:b w:val="0"/>
          <w:bCs w:val="0"/>
          <w:color w:val="auto"/>
          <w:kern w:val="0"/>
          <w:sz w:val="24"/>
          <w:highlight w:val="none"/>
          <w:lang w:eastAsia="zh-CN"/>
        </w:rPr>
        <w:t>支付合同总金额的100%</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供应商提供的报价总价</w:t>
      </w:r>
      <w:r>
        <w:rPr>
          <w:rFonts w:hint="eastAsia" w:asciiTheme="minorEastAsia" w:hAnsiTheme="minorEastAsia" w:eastAsiaTheme="minorEastAsia" w:cstheme="minorEastAsia"/>
          <w:color w:val="auto"/>
          <w:sz w:val="24"/>
          <w:szCs w:val="24"/>
          <w:highlight w:val="none"/>
        </w:rPr>
        <w:t>须包含但不限于所需人工、设备、施工机械（器械）使用费、生产费、运输费、设备运输吊装费、安全措施费（包括但不限于高空费）、安装费、安装辅助材料费（包括但不限于打孔、铜管、支架、排水管、空开、电源线等辅助材料所有费用）、开路埋管施工费、配套器件费、因安装工作不连续而造成的窝工费、调试费、培训费、售后保修服务费、税金及合同明示或暗示的风险责任和义务等一切与本项目相关的所有费用，采购人不再支付其他费用。</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运输和包装要求</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（1）包装：货物交货时应按国家有关标准要求进行包装。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（2）包装必须与运输方式相适应，包装方式的确定及包装费用均由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负责；由于不适当的包装而造成货物在运输过程中有任何损坏由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负责。</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（3）包装应足以承受整个过程中的运输、转运、装卸、储存等，充分考虑到运输途中的各种情况（如暴露于恶劣气候等）和项目所在地的气候特点，以及露天存放的需要。</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（4）货物安装所需的配件或附加件，在合同签订前由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提交具体清单给采购人确认。专用工具及备品备件应分别包装，并在包装箱外加以注明其用处。</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负责将所有货物送至采购人地点并安装调试。</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安装及安全问题</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（1）负责安装：每个安装位置必须按采购人指定的位置，安装时不得破坏原有结构和外观（安装空调时与采购人协商确须打洞</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情形除外）。</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在供货时应根据现场实际情况增长排水管、铜管、室内外机电源线、通讯线等安装的辅材及其安装需要的辅助服务（拆除修复防盗网、打孔、高层搬运和高空作业等）相关费用均包含在响应文件报价中，由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承担，采购人不再另行支付相关费用，同时增加的材料质量须不低于制造商原装的材料质量。安装施工过程不能影响采购人的正常作息并及时清理现场卫生。</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安装结束后应在规定的交付使用时间之前将废物移离现场至指定位置，清理妥当，费用已含在成交价内。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（2）安全要求：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全权负责保修期内非采购人人为因素引起的设备本身及安装产生的安全问题，若出现任何安全事故，由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自行负责，给采购人造成的损失，由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负责赔偿。</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负责组织专业技术人员进行货物安装。</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作业期间，应遵守法律法规、遵守采购人规章制度，人员须统一着公司服装、挂牌上岗、态度良好，不得有与采购人工作人员发生肢体冲突、谩骂采购人工作人员等不良行为。</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向采购人提供安装和维护所需特殊专用的工具、备件及清单和中文说明书，其费用包括在投标价格内。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应在空调上粘贴</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专属标签，标签上应有服务热线电话号码。</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项目为交钥匙工程，上述采购货物数量、技术参数及要求已包含并不限于人工、材料设备、机械使用、包含可能存在的开槽，墙面恢复等所有费用，清单里未列明但因项目建设需要的其他主材、辅材等材料设备及相关配套费用由供应商自行承担；项目实施过程中，实际安装情况以采购人要求的为准。</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验收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Hans"/>
        </w:rPr>
        <w:t>所有货物按厂家产品验收标准(符合国家或行业或地方标准)、</w:t>
      </w:r>
      <w:r>
        <w:rPr>
          <w:rFonts w:hint="eastAsia" w:asciiTheme="minorEastAsia" w:hAnsiTheme="minorEastAsia" w:eastAsiaTheme="minorEastAsia" w:cstheme="minorEastAsia"/>
          <w:color w:val="auto"/>
          <w:kern w:val="0"/>
          <w:sz w:val="24"/>
          <w:szCs w:val="24"/>
          <w:highlight w:val="none"/>
          <w:lang w:val="en-US" w:eastAsia="zh-CN"/>
        </w:rPr>
        <w:t>竞价文件</w:t>
      </w:r>
      <w:r>
        <w:rPr>
          <w:rFonts w:hint="eastAsia" w:asciiTheme="minorEastAsia" w:hAnsiTheme="minorEastAsia" w:eastAsiaTheme="minorEastAsia" w:cstheme="minorEastAsia"/>
          <w:color w:val="auto"/>
          <w:kern w:val="0"/>
          <w:sz w:val="24"/>
          <w:szCs w:val="24"/>
          <w:highlight w:val="none"/>
          <w:lang w:val="en-US" w:eastAsia="zh-Hans"/>
        </w:rPr>
        <w:t>、响应文件等有关部分内容进行验收，</w:t>
      </w:r>
      <w:r>
        <w:rPr>
          <w:rFonts w:hint="eastAsia" w:asciiTheme="minorEastAsia" w:hAnsiTheme="minorEastAsia" w:eastAsiaTheme="minorEastAsia" w:cstheme="minorEastAsia"/>
          <w:color w:val="auto"/>
          <w:kern w:val="0"/>
          <w:sz w:val="24"/>
          <w:szCs w:val="24"/>
          <w:highlight w:val="none"/>
          <w:lang w:val="en-US" w:eastAsia="zh-CN"/>
        </w:rPr>
        <w:t>采购人</w:t>
      </w:r>
      <w:r>
        <w:rPr>
          <w:rFonts w:hint="eastAsia" w:asciiTheme="minorEastAsia" w:hAnsiTheme="minorEastAsia" w:eastAsiaTheme="minorEastAsia" w:cstheme="minorEastAsia"/>
          <w:color w:val="auto"/>
          <w:kern w:val="0"/>
          <w:sz w:val="24"/>
          <w:szCs w:val="24"/>
          <w:highlight w:val="none"/>
          <w:lang w:val="en-US" w:eastAsia="zh-Hans"/>
        </w:rPr>
        <w:t>有可能做破坏性实验以检查材料是否符合</w:t>
      </w:r>
      <w:r>
        <w:rPr>
          <w:rFonts w:hint="eastAsia" w:asciiTheme="minorEastAsia" w:hAnsiTheme="minorEastAsia" w:eastAsiaTheme="minorEastAsia" w:cstheme="minorEastAsia"/>
          <w:color w:val="auto"/>
          <w:kern w:val="0"/>
          <w:sz w:val="24"/>
          <w:szCs w:val="24"/>
          <w:highlight w:val="none"/>
          <w:lang w:val="en-US" w:eastAsia="zh-CN"/>
        </w:rPr>
        <w:t>竞价文件</w:t>
      </w:r>
      <w:r>
        <w:rPr>
          <w:rFonts w:hint="eastAsia" w:asciiTheme="minorEastAsia" w:hAnsiTheme="minorEastAsia" w:eastAsiaTheme="minorEastAsia" w:cstheme="minorEastAsia"/>
          <w:color w:val="auto"/>
          <w:kern w:val="0"/>
          <w:sz w:val="24"/>
          <w:szCs w:val="24"/>
          <w:highlight w:val="none"/>
          <w:lang w:val="en-US" w:eastAsia="zh-Hans"/>
        </w:rPr>
        <w:t>要求。</w:t>
      </w:r>
      <w:r>
        <w:rPr>
          <w:rFonts w:hint="eastAsia" w:asciiTheme="minorEastAsia" w:hAnsiTheme="minorEastAsia" w:eastAsiaTheme="minorEastAsia" w:cstheme="minorEastAsia"/>
          <w:color w:val="auto"/>
          <w:kern w:val="0"/>
          <w:sz w:val="24"/>
          <w:szCs w:val="24"/>
          <w:highlight w:val="none"/>
          <w:lang w:val="en-US" w:eastAsia="zh-CN"/>
        </w:rPr>
        <w:t>采购人</w:t>
      </w:r>
      <w:r>
        <w:rPr>
          <w:rFonts w:hint="eastAsia" w:asciiTheme="minorEastAsia" w:hAnsiTheme="minorEastAsia" w:eastAsiaTheme="minorEastAsia" w:cstheme="minorEastAsia"/>
          <w:color w:val="auto"/>
          <w:kern w:val="0"/>
          <w:sz w:val="24"/>
          <w:szCs w:val="24"/>
          <w:highlight w:val="none"/>
          <w:lang w:val="en-US" w:eastAsia="zh-Hans"/>
        </w:rPr>
        <w:t>有权抽检，将随机抽选部分</w:t>
      </w:r>
      <w:r>
        <w:rPr>
          <w:rFonts w:hint="eastAsia" w:asciiTheme="minorEastAsia" w:hAnsiTheme="minorEastAsia" w:eastAsia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Hans"/>
        </w:rPr>
        <w:t>产品委托有检测</w:t>
      </w:r>
      <w:r>
        <w:rPr>
          <w:rFonts w:hint="eastAsia" w:asciiTheme="minorEastAsia" w:hAnsiTheme="minorEastAsia" w:eastAsiaTheme="minorEastAsia" w:cstheme="minorEastAsia"/>
          <w:color w:val="auto"/>
          <w:kern w:val="0"/>
          <w:sz w:val="24"/>
          <w:szCs w:val="24"/>
          <w:highlight w:val="none"/>
          <w:lang w:val="en-US" w:eastAsia="zh-CN"/>
        </w:rPr>
        <w:t>或检验或试验</w:t>
      </w:r>
      <w:r>
        <w:rPr>
          <w:rFonts w:hint="eastAsia" w:asciiTheme="minorEastAsia" w:hAnsiTheme="minorEastAsia" w:eastAsiaTheme="minorEastAsia" w:cstheme="minorEastAsia"/>
          <w:color w:val="auto"/>
          <w:kern w:val="0"/>
          <w:sz w:val="24"/>
          <w:szCs w:val="24"/>
          <w:highlight w:val="none"/>
          <w:lang w:val="en-US" w:eastAsia="zh-Hans"/>
        </w:rPr>
        <w:t>资质的第三方机构进行</w:t>
      </w:r>
      <w:r>
        <w:rPr>
          <w:rFonts w:hint="eastAsia" w:asciiTheme="minorEastAsia" w:hAnsiTheme="minorEastAsia" w:eastAsiaTheme="minorEastAsia" w:cstheme="minorEastAsia"/>
          <w:color w:val="auto"/>
          <w:kern w:val="0"/>
          <w:sz w:val="24"/>
          <w:szCs w:val="24"/>
          <w:highlight w:val="none"/>
          <w:lang w:val="en-US" w:eastAsia="zh-CN"/>
        </w:rPr>
        <w:t>检测、</w:t>
      </w:r>
      <w:r>
        <w:rPr>
          <w:rFonts w:hint="eastAsia" w:asciiTheme="minorEastAsia" w:hAnsiTheme="minorEastAsia" w:eastAsiaTheme="minorEastAsia" w:cstheme="minorEastAsia"/>
          <w:color w:val="auto"/>
          <w:kern w:val="0"/>
          <w:sz w:val="24"/>
          <w:szCs w:val="24"/>
          <w:highlight w:val="none"/>
          <w:lang w:val="en-US" w:eastAsia="zh-Hans"/>
        </w:rPr>
        <w:t>检验</w:t>
      </w:r>
      <w:r>
        <w:rPr>
          <w:rFonts w:hint="eastAsia" w:asciiTheme="minorEastAsia" w:hAnsiTheme="minorEastAsia" w:eastAsiaTheme="minorEastAsia" w:cstheme="minorEastAsia"/>
          <w:color w:val="auto"/>
          <w:kern w:val="0"/>
          <w:sz w:val="24"/>
          <w:szCs w:val="24"/>
          <w:highlight w:val="none"/>
          <w:lang w:val="en-US" w:eastAsia="zh-CN"/>
        </w:rPr>
        <w:t>或试验</w:t>
      </w:r>
      <w:r>
        <w:rPr>
          <w:rFonts w:hint="eastAsia" w:asciiTheme="minorEastAsia" w:hAnsiTheme="minorEastAsia" w:eastAsiaTheme="minorEastAsia" w:cstheme="minorEastAsia"/>
          <w:color w:val="auto"/>
          <w:kern w:val="0"/>
          <w:sz w:val="24"/>
          <w:szCs w:val="24"/>
          <w:highlight w:val="none"/>
          <w:lang w:val="en-US" w:eastAsia="zh-Hans"/>
        </w:rPr>
        <w:t>。抽检不合格的，采购人有权拒收</w:t>
      </w:r>
      <w:r>
        <w:rPr>
          <w:rFonts w:hint="eastAsia" w:asciiTheme="minorEastAsia" w:hAnsiTheme="minorEastAsia" w:eastAsiaTheme="minorEastAsia" w:cstheme="minorEastAsia"/>
          <w:color w:val="auto"/>
          <w:kern w:val="0"/>
          <w:sz w:val="24"/>
          <w:szCs w:val="24"/>
          <w:highlight w:val="none"/>
          <w:lang w:val="en-US" w:eastAsia="zh-CN"/>
        </w:rPr>
        <w:t>全部货物</w:t>
      </w:r>
      <w:r>
        <w:rPr>
          <w:rFonts w:hint="eastAsia" w:asciiTheme="minorEastAsia" w:hAnsiTheme="minorEastAsia" w:eastAsiaTheme="minorEastAsia" w:cstheme="minorEastAsia"/>
          <w:color w:val="auto"/>
          <w:kern w:val="0"/>
          <w:sz w:val="24"/>
          <w:szCs w:val="24"/>
          <w:highlight w:val="none"/>
          <w:lang w:val="en-US" w:eastAsia="zh-Hans"/>
        </w:rPr>
        <w:t>，并终止合同，没收履约保证金，造成采购人经济损失的，</w:t>
      </w:r>
      <w:r>
        <w:rPr>
          <w:rFonts w:hint="eastAsia" w:asciiTheme="minorEastAsia" w:hAnsiTheme="minorEastAsia" w:eastAsiaTheme="minorEastAsia" w:cstheme="minorEastAsia"/>
          <w:color w:val="auto"/>
          <w:kern w:val="0"/>
          <w:sz w:val="24"/>
          <w:szCs w:val="24"/>
          <w:highlight w:val="none"/>
          <w:lang w:val="en-US" w:eastAsia="zh-CN"/>
        </w:rPr>
        <w:t>成交人</w:t>
      </w:r>
      <w:r>
        <w:rPr>
          <w:rFonts w:hint="eastAsia" w:asciiTheme="minorEastAsia" w:hAnsiTheme="minorEastAsia" w:eastAsiaTheme="minorEastAsia" w:cstheme="minorEastAsia"/>
          <w:color w:val="auto"/>
          <w:kern w:val="0"/>
          <w:sz w:val="24"/>
          <w:szCs w:val="24"/>
          <w:highlight w:val="none"/>
          <w:lang w:val="en-US" w:eastAsia="zh-Hans"/>
        </w:rPr>
        <w:t>应予赔偿。抽检所产生的检测</w:t>
      </w:r>
      <w:r>
        <w:rPr>
          <w:rFonts w:hint="eastAsia" w:asciiTheme="minorEastAsia" w:hAnsiTheme="minorEastAsia" w:eastAsiaTheme="minorEastAsia" w:cstheme="minorEastAsia"/>
          <w:color w:val="auto"/>
          <w:kern w:val="0"/>
          <w:sz w:val="24"/>
          <w:szCs w:val="24"/>
          <w:highlight w:val="none"/>
          <w:lang w:val="en-US" w:eastAsia="zh-CN"/>
        </w:rPr>
        <w:t>、检验或试验</w:t>
      </w:r>
      <w:r>
        <w:rPr>
          <w:rFonts w:hint="eastAsia" w:asciiTheme="minorEastAsia" w:hAnsiTheme="minorEastAsia" w:eastAsiaTheme="minorEastAsia" w:cstheme="minorEastAsia"/>
          <w:color w:val="auto"/>
          <w:kern w:val="0"/>
          <w:sz w:val="24"/>
          <w:szCs w:val="24"/>
          <w:highlight w:val="none"/>
          <w:lang w:val="en-US" w:eastAsia="zh-Hans"/>
        </w:rPr>
        <w:t>费用等由</w:t>
      </w:r>
      <w:r>
        <w:rPr>
          <w:rFonts w:hint="eastAsia" w:asciiTheme="minorEastAsia" w:hAnsiTheme="minorEastAsia" w:eastAsiaTheme="minorEastAsia" w:cstheme="minorEastAsia"/>
          <w:color w:val="auto"/>
          <w:kern w:val="0"/>
          <w:sz w:val="24"/>
          <w:szCs w:val="24"/>
          <w:highlight w:val="none"/>
          <w:lang w:val="en-US" w:eastAsia="zh-CN"/>
        </w:rPr>
        <w:t>成交人</w:t>
      </w:r>
      <w:r>
        <w:rPr>
          <w:rFonts w:hint="eastAsia" w:asciiTheme="minorEastAsia" w:hAnsiTheme="minorEastAsia" w:eastAsiaTheme="minorEastAsia" w:cstheme="minorEastAsia"/>
          <w:color w:val="auto"/>
          <w:kern w:val="0"/>
          <w:sz w:val="24"/>
          <w:szCs w:val="24"/>
          <w:highlight w:val="none"/>
          <w:lang w:val="en-US" w:eastAsia="zh-Hans"/>
        </w:rPr>
        <w:t>承担。</w:t>
      </w:r>
      <w:r>
        <w:rPr>
          <w:rFonts w:hint="eastAsia" w:asciiTheme="minorEastAsia" w:hAnsiTheme="minorEastAsia" w:eastAsiaTheme="minorEastAsia" w:cstheme="minorEastAsia"/>
          <w:color w:val="auto"/>
          <w:kern w:val="0"/>
          <w:sz w:val="24"/>
          <w:szCs w:val="24"/>
          <w:highlight w:val="none"/>
          <w:lang w:val="zh-CN" w:eastAsia="zh-CN"/>
        </w:rPr>
        <w:t>对于成交人已安装部分，采购人有权要求成交人限期拆除，逾期拆除的采购人有权自行或聘请他人拆除，相关费用全部由成交人承担。</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验收程序和方法:</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（1）货物验收前，</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须提供完整的技术资料(包括产品中文说明书、中文采购人手册、出厂明细表或装箱单、制造厂质量合格证书及其他相关文件资料)。所供空调应提供产品合格证（符合国家相关行业质量标准规格），应为全新原装未启封的(未经使用和非展览会展示样品设备，外观无刮、碰痕迹，并有下列明显标记：名称、品牌型号、制造商标识、产地、出厂日期、出产序列号等)，不得使用二手设备（包括翻新机）。</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（2）初验收：货物送至采购人安装现场后，由采购人及</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双方共同对货物的数量、基本质量、外包装等逐项检验。</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（3）最终验收：初验合格且设备安装完毕后，设备进行为期30天的试运行。试运行结束后符合要求的，最终验收通过；不合格的，</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必须无条件更换货物，并重新调试运行；重新调试运行时限为30天，期满仍未能符合要求通过验收的，采购人有权终止合同，将相关设备全部做退货处理，并要求成交</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支付合同金额30%的违约金。退货产生的费用等均由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承担。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（4）验收结果经双方签字确认。如发现设备与合同规定不符，采购人有权拒绝接受并向</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提出索赔。如货物在售后期内被证明存在缺陷，包括潜在的缺陷或使用不合适的材料，采购人有权向</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提出索赔。</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售后服务</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（1）整机保修</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年，自验收合格后起计算。提供全面的售后服务，包含且不仅限于空调机、加氨等。售后期内，须按合同条款提供售后服务，非因采购人操作不当造成要更换的零配件及产品由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负责包修、包换。</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在售后期内须提供上门维修服务，产品使用发生故障时</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在接到采购人故障通知后2小时内响应，并在24小时内到达现场，负责修理或更换有缺陷的零部件或产品，对造成的损失按合同规定赔偿及负责违约责任。在售后期内出现产品质量问题(同一故障发生二次)，采购人则有权要求更换产品，更换的售后期从更换之日起相应顺延。如在一个月内同一台机子出现故障达两次，</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天内更换同品牌、同型号规格空调新机（若因不再生产，则可用主要参数更优的其他型号规格产品替代，但须报经采购人同意），此产生的一切费用均由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承担。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在保修期内应承担设备自身运行中保养、维护、所需的配件及故障维修等所产生的一切费用。</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宋体" w:hAnsi="宋体" w:cs="宋体"/>
          <w:b/>
          <w:bCs/>
          <w:color w:val="auto"/>
          <w:sz w:val="24"/>
          <w:highlight w:val="none"/>
        </w:rPr>
        <w:t>专利权及知识产权</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提供的货物应符合国家知识产权法律、法规的规定且非假冒伪劣品；</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还应保证采购人不受到第三方关于侵犯知识产权及专利权、商标权或工业设计权等知识产权方面的指控，若任何第三方提出此方面指控均与采购人无关，</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应与第三方交涉，并承担可能发生的一切法律责任、费用和后果；若采购人因此而遭致损失，则</w:t>
      </w:r>
      <w:r>
        <w:rPr>
          <w:rFonts w:hint="eastAsia" w:asciiTheme="minorEastAsia" w:hAnsiTheme="minorEastAsia" w:eastAsiaTheme="minorEastAsia" w:cstheme="minorEastAsia"/>
          <w:color w:val="auto"/>
          <w:sz w:val="24"/>
          <w:szCs w:val="24"/>
          <w:highlight w:val="none"/>
          <w:lang w:val="en-US" w:eastAsia="zh-CN"/>
        </w:rPr>
        <w:t>成交人</w:t>
      </w:r>
      <w:r>
        <w:rPr>
          <w:rFonts w:hint="eastAsia" w:asciiTheme="minorEastAsia" w:hAnsiTheme="minorEastAsia" w:eastAsiaTheme="minorEastAsia" w:cstheme="minorEastAsia"/>
          <w:color w:val="auto"/>
          <w:sz w:val="24"/>
          <w:szCs w:val="24"/>
          <w:highlight w:val="none"/>
        </w:rPr>
        <w:t>应赔偿采购人全部损失。</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（2）若</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提供的采购标的不符合国家知识产权法律、法规的规定或被有关主管机关认定为假冒伪劣品，则</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成交资格将被取消；采购人还将按照有关法律、法规和规章的规定进行处理。</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违约责任</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不得将项目转包或分包他人，否则视为违约，采购人有权单方终止合同，并没收履约保证金，要求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支付合同金额20%的违约金。</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（2）未经采购人同意</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单方解除合同，或拒绝供货的，采购人有权没收全额履约保证金，要求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支付合同金额20%的违约金；对采购人造成损失的，</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还应给予相应赔偿。</w:t>
      </w:r>
    </w:p>
    <w:p>
      <w:pPr>
        <w:pStyle w:val="2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（3）因产品质量问题造成采购人或任何第三方损害的，</w:t>
      </w:r>
      <w:r>
        <w:rPr>
          <w:rFonts w:hint="eastAsia" w:asciiTheme="minorEastAsia" w:hAnsiTheme="minorEastAsia" w:eastAsiaTheme="minorEastAsia" w:cstheme="minorEastAsia"/>
          <w:b/>
          <w:bCs/>
          <w:color w:val="auto"/>
          <w:sz w:val="24"/>
          <w:szCs w:val="24"/>
          <w:highlight w:val="none"/>
          <w:lang w:eastAsia="zh-CN"/>
        </w:rPr>
        <w:t>成交人</w:t>
      </w:r>
      <w:r>
        <w:rPr>
          <w:rFonts w:hint="eastAsia" w:asciiTheme="minorEastAsia" w:hAnsiTheme="minorEastAsia" w:eastAsiaTheme="minorEastAsia" w:cstheme="minorEastAsia"/>
          <w:b/>
          <w:bCs/>
          <w:color w:val="auto"/>
          <w:sz w:val="24"/>
          <w:szCs w:val="24"/>
          <w:highlight w:val="none"/>
        </w:rPr>
        <w:t>应承担一切损害赔偿、法律责任。</w:t>
      </w:r>
      <w:r>
        <w:rPr>
          <w:rFonts w:hint="eastAsia" w:asciiTheme="minorEastAsia" w:hAnsiTheme="minorEastAsia" w:eastAsiaTheme="minorEastAsia" w:cstheme="minorEastAsia"/>
          <w:b/>
          <w:bCs/>
          <w:color w:val="auto"/>
          <w:sz w:val="24"/>
          <w:szCs w:val="24"/>
          <w:highlight w:val="none"/>
          <w:lang w:eastAsia="zh-CN"/>
        </w:rPr>
        <w:t>成交人</w:t>
      </w:r>
      <w:r>
        <w:rPr>
          <w:rFonts w:hint="eastAsia" w:asciiTheme="minorEastAsia" w:hAnsiTheme="minorEastAsia" w:eastAsiaTheme="minorEastAsia" w:cstheme="minorEastAsia"/>
          <w:b/>
          <w:bCs/>
          <w:color w:val="auto"/>
          <w:sz w:val="24"/>
          <w:szCs w:val="24"/>
          <w:highlight w:val="none"/>
        </w:rPr>
        <w:t>所供货物品牌、规格、型号、性能等技术质量参数不符合</w:t>
      </w:r>
      <w:r>
        <w:rPr>
          <w:rFonts w:hint="eastAsia" w:asciiTheme="minorEastAsia" w:hAnsiTheme="minorEastAsia" w:eastAsiaTheme="minorEastAsia" w:cstheme="minorEastAsia"/>
          <w:b/>
          <w:bCs/>
          <w:color w:val="auto"/>
          <w:sz w:val="24"/>
          <w:szCs w:val="24"/>
          <w:highlight w:val="none"/>
          <w:lang w:val="en-US" w:eastAsia="zh-CN"/>
        </w:rPr>
        <w:t>竞价文件</w:t>
      </w:r>
      <w:r>
        <w:rPr>
          <w:rFonts w:hint="eastAsia" w:asciiTheme="minorEastAsia" w:hAnsiTheme="minorEastAsia" w:eastAsiaTheme="minorEastAsia" w:cstheme="minorEastAsia"/>
          <w:b/>
          <w:bCs/>
          <w:color w:val="auto"/>
          <w:sz w:val="24"/>
          <w:szCs w:val="24"/>
          <w:highlight w:val="none"/>
        </w:rPr>
        <w:t>要求及投标响应的，采购人有权拒收，并终止合同，没收履约保证金，造成采购人经济损失的，</w:t>
      </w:r>
      <w:r>
        <w:rPr>
          <w:rFonts w:hint="eastAsia" w:asciiTheme="minorEastAsia" w:hAnsiTheme="minorEastAsia" w:eastAsiaTheme="minorEastAsia" w:cstheme="minorEastAsia"/>
          <w:b/>
          <w:bCs/>
          <w:color w:val="auto"/>
          <w:sz w:val="24"/>
          <w:szCs w:val="24"/>
          <w:highlight w:val="none"/>
          <w:lang w:eastAsia="zh-CN"/>
        </w:rPr>
        <w:t>成交人</w:t>
      </w:r>
      <w:r>
        <w:rPr>
          <w:rFonts w:hint="eastAsia" w:asciiTheme="minorEastAsia" w:hAnsiTheme="minorEastAsia" w:eastAsiaTheme="minorEastAsia" w:cstheme="minorEastAsia"/>
          <w:b/>
          <w:bCs/>
          <w:color w:val="auto"/>
          <w:sz w:val="24"/>
          <w:szCs w:val="24"/>
          <w:highlight w:val="none"/>
        </w:rPr>
        <w:t>应予赔偿。</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不能按合同约定时限供货并完成安装调试的，</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应按日支付给采购人合同金额0.5%的违约金；逾期超过10日的，采购人除了有权要求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按日支付合同金额0.5%的违约金外，还有权拒收，并终止合同，没收履约保证金, 造成采购人经济损失的，</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应予赔偿。对于</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已安装部分，采购人有权要求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限期拆除，逾期拆除的采购人有权自行或聘请他人拆除，相关费用全部由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承担。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不能按合同数量交付并完成安装调试的，采购人有权要求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限期补足，补货期间</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应按缺货对应金额支付给采购人1倍的违约金；逾期补货超过10日的，</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除了按缺货对应金额支付给采购人1倍的违约金外，采购人有权拒收，并终止合同，没收履约保证金，造成采购人经济损失的，</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应予赔偿。终止合同的，对于</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已安装部分，采购人有权要求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限期拆除，逾期拆除的采购人有权自行或聘请他人拆除，相关费用全部由</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承担。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（6）采购人依约采取拒收货物或者退、换货等措施的，</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承担因此发生的一切损失费用，包括但不限于运输和保险费、检验费、仓储和装卸费以及为保管和保护被拒绝货物所需要的其它必要费用。</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除存在本条款第1项、第2项情形并承担相应责任外，</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未履行或未完全履行本</w:t>
      </w:r>
      <w:r>
        <w:rPr>
          <w:rFonts w:hint="eastAsia" w:asciiTheme="minorEastAsia" w:hAnsiTheme="minorEastAsia" w:eastAsiaTheme="minorEastAsia" w:cstheme="minorEastAsia"/>
          <w:color w:val="auto"/>
          <w:sz w:val="24"/>
          <w:szCs w:val="24"/>
          <w:highlight w:val="none"/>
          <w:lang w:eastAsia="zh-CN"/>
        </w:rPr>
        <w:t>竞价文件</w:t>
      </w:r>
      <w:r>
        <w:rPr>
          <w:rFonts w:hint="eastAsia" w:asciiTheme="minorEastAsia" w:hAnsiTheme="minorEastAsia" w:eastAsiaTheme="minorEastAsia" w:cstheme="minorEastAsia"/>
          <w:color w:val="auto"/>
          <w:sz w:val="24"/>
          <w:szCs w:val="24"/>
          <w:highlight w:val="none"/>
        </w:rPr>
        <w:t>其他要求或</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lang w:val="en-US" w:eastAsia="zh-CN"/>
        </w:rPr>
        <w:t>竞价</w:t>
      </w:r>
      <w:r>
        <w:rPr>
          <w:rFonts w:hint="eastAsia" w:asciiTheme="minorEastAsia" w:hAnsiTheme="minorEastAsia" w:eastAsiaTheme="minorEastAsia" w:cstheme="minorEastAsia"/>
          <w:color w:val="auto"/>
          <w:sz w:val="24"/>
          <w:szCs w:val="24"/>
          <w:highlight w:val="none"/>
        </w:rPr>
        <w:t>响应的，每违约一次应向采购人支付违约金3000元，若因此给采购人造成损失的，</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还应赔偿采购人所受的损失；累计超过三次的，扣除全部履约保证金。</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（8）在合作期间，</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必须遵守采购人的各项规章制度，如有进出监区的必须提供合法证件，</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运送物资进入采购人所在监区的车辆、人员不得私自离开指定的区域，不得与犯人及犯人家属有违反监狱规定的接触，不传递物品及信息如：手机、毒品、酒类、黄色书刊及图片、刀具、绳索、打火机、有价证券、信用卡、数码产品等一切物品，一旦发现有上述违规行为，采购人有权终止合同并没收履约保证金；若触犯法律移送司法机关处理。</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不得给予采购人工作人员或其他相关人员任何形式不正当利益，在招投标、合同履行过程中，发现</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以违规方式成交的，或</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有行贿等违法行为，一经发现的,采购人将终止合同并没收履约保证金。</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要认真遵守国家保密法律、法规和采购人相关规章制度，履行保密、保守义务；其进入采购人工作区域的工作人员需签订《保密承诺书》，严格履行保密义务，所获得的采购人所有信息（包括并不限于工作信息）应严格保守，未经甲方允许不得违规记录、存储、复制国家秘密信息，不以任何方式泄露所接触和知悉的国家秘密和采购人相关信息，严禁将采购人工作文件等内部资料泄露出去，采购人根据</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存在的前述违约行为（包括故意或过失）或因前述违约行为（包括故意或过失）造成采购人相关后果等实际情况，除了有权要求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承担相应法律责任外，还有权要求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偿付合同货款</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0%的违约金；造成采购人损失的，</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还应予以赔偿。本条款不因合同届满或解除而失效。</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（11）除本项目有其他明确约定外，</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不得以设备停产、产品升级等任何理由要求变更所投报的设备品牌及型号，否则采购人有权终止合同，没收履约保证金，并要求</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支付给采购人本项目成交金额20%的违约金。</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（12）对</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应支付的违约金，采购人有权从未付的货款中扣抵，不足扣抵的，采购人通过法律等其他途径主张权利。</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（13）上述违约责任内容与本项目中其他约定有冲突的，违约责任按就高不就低原则处理。</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不可抗力</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不可抗力造成违约的，遭受不可抗力一方应及时向对方通报不能履行或不能完全履行的理由，并向另一方提供不可抗力发生以及持续期间的充分证据。基于以上行为，允许遭受不可抗力一方延期履行、部分履行或者不履行合同，并根据情况可部分或全部免于承担违约责任。</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（2）不可抗力指不能预见、不能避免并不能克服的客观情况。包括但不限于：自然灾害如地震、台风、洪水、火灾；政府行为、法律规定或其适用的变化或者其他任何无法预见、避免或者控制的事件。</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14、合同纠纷处理方式</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双方必须认真履行合同条款。因合同或与合同有关的一切事项发生争议，由双方友好协商解决，协商不成的，任何一方均可向采购人所在地的龙岩仲裁委员会申请仲裁。</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15、</w:t>
      </w:r>
      <w:r>
        <w:rPr>
          <w:rFonts w:hint="eastAsia" w:asciiTheme="minorEastAsia" w:hAnsiTheme="minorEastAsia" w:eastAsiaTheme="minorEastAsia" w:cstheme="minorEastAsia"/>
          <w:b/>
          <w:bCs/>
          <w:color w:val="auto"/>
          <w:sz w:val="24"/>
          <w:szCs w:val="24"/>
          <w:highlight w:val="none"/>
        </w:rPr>
        <w:t>其他事项</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en-US" w:eastAsia="zh-CN"/>
        </w:rPr>
        <w:t>（1）</w:t>
      </w:r>
      <w:r>
        <w:rPr>
          <w:rFonts w:hint="eastAsia" w:asciiTheme="minorEastAsia" w:hAnsiTheme="minorEastAsia" w:eastAsiaTheme="minorEastAsia" w:cstheme="minorEastAsia"/>
          <w:bCs/>
          <w:color w:val="auto"/>
          <w:kern w:val="2"/>
          <w:sz w:val="24"/>
          <w:szCs w:val="24"/>
          <w:highlight w:val="none"/>
          <w:lang w:val="zh-CN" w:eastAsia="zh-CN"/>
        </w:rPr>
        <w:t>除</w:t>
      </w:r>
      <w:r>
        <w:rPr>
          <w:rFonts w:hint="eastAsia" w:asciiTheme="minorEastAsia" w:hAnsiTheme="minorEastAsia" w:eastAsiaTheme="minorEastAsia" w:cstheme="minorEastAsia"/>
          <w:bCs/>
          <w:color w:val="auto"/>
          <w:kern w:val="2"/>
          <w:sz w:val="24"/>
          <w:szCs w:val="24"/>
          <w:highlight w:val="none"/>
          <w:lang w:val="en-US" w:eastAsia="zh-CN"/>
        </w:rPr>
        <w:t>竞价</w:t>
      </w:r>
      <w:r>
        <w:rPr>
          <w:rFonts w:hint="eastAsia" w:asciiTheme="minorEastAsia" w:hAnsiTheme="minorEastAsia" w:eastAsiaTheme="minorEastAsia" w:cstheme="minorEastAsia"/>
          <w:bCs/>
          <w:color w:val="auto"/>
          <w:kern w:val="2"/>
          <w:sz w:val="24"/>
          <w:szCs w:val="24"/>
          <w:highlight w:val="none"/>
          <w:lang w:val="zh-CN" w:eastAsia="zh-CN"/>
        </w:rPr>
        <w:t>文件另有规定外，若出现有关法律、法规和规章有强制性规定但</w:t>
      </w:r>
      <w:r>
        <w:rPr>
          <w:rFonts w:hint="eastAsia" w:asciiTheme="minorEastAsia" w:hAnsiTheme="minorEastAsia" w:eastAsiaTheme="minorEastAsia" w:cstheme="minorEastAsia"/>
          <w:bCs/>
          <w:color w:val="auto"/>
          <w:kern w:val="2"/>
          <w:sz w:val="24"/>
          <w:szCs w:val="24"/>
          <w:highlight w:val="none"/>
          <w:lang w:val="en-US" w:eastAsia="zh-CN"/>
        </w:rPr>
        <w:t>竞价</w:t>
      </w:r>
      <w:r>
        <w:rPr>
          <w:rFonts w:hint="eastAsia" w:asciiTheme="minorEastAsia" w:hAnsiTheme="minorEastAsia" w:eastAsiaTheme="minorEastAsia" w:cstheme="minorEastAsia"/>
          <w:bCs/>
          <w:color w:val="auto"/>
          <w:kern w:val="2"/>
          <w:sz w:val="24"/>
          <w:szCs w:val="24"/>
          <w:highlight w:val="none"/>
          <w:lang w:val="zh-CN" w:eastAsia="zh-CN"/>
        </w:rPr>
        <w:t>文件未列明的情形，则成交人应按照有关法律、法规和规章强制性规定执行。</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zh-CN" w:eastAsia="zh-CN"/>
        </w:rPr>
        <w:t>（</w:t>
      </w:r>
      <w:r>
        <w:rPr>
          <w:rFonts w:hint="eastAsia" w:asciiTheme="minorEastAsia" w:hAnsiTheme="minorEastAsia" w:eastAsiaTheme="minorEastAsia" w:cstheme="minorEastAsia"/>
          <w:bCs/>
          <w:color w:val="auto"/>
          <w:kern w:val="2"/>
          <w:sz w:val="24"/>
          <w:szCs w:val="24"/>
          <w:highlight w:val="none"/>
          <w:lang w:val="en-US" w:eastAsia="zh-CN"/>
        </w:rPr>
        <w:t>2</w:t>
      </w:r>
      <w:r>
        <w:rPr>
          <w:rFonts w:hint="eastAsia" w:asciiTheme="minorEastAsia" w:hAnsiTheme="minorEastAsia" w:eastAsiaTheme="minorEastAsia" w:cstheme="minorEastAsia"/>
          <w:bCs/>
          <w:color w:val="auto"/>
          <w:kern w:val="2"/>
          <w:sz w:val="24"/>
          <w:szCs w:val="24"/>
          <w:highlight w:val="none"/>
          <w:lang w:val="zh-CN" w:eastAsia="zh-CN"/>
        </w:rPr>
        <w:t>） 因成交人未履行合同项下义务导致采购人所产生的一切损失（包括但不限于人身财产的损失、律师费、</w:t>
      </w:r>
      <w:r>
        <w:rPr>
          <w:rFonts w:hint="eastAsia" w:asciiTheme="minorEastAsia" w:hAnsiTheme="minorEastAsia" w:eastAsiaTheme="minorEastAsia" w:cstheme="minorEastAsia"/>
          <w:bCs/>
          <w:color w:val="auto"/>
          <w:kern w:val="2"/>
          <w:sz w:val="24"/>
          <w:szCs w:val="24"/>
          <w:highlight w:val="none"/>
          <w:lang w:val="en-US" w:eastAsia="zh-CN"/>
        </w:rPr>
        <w:t>仲裁服务费、</w:t>
      </w:r>
      <w:r>
        <w:rPr>
          <w:rFonts w:hint="eastAsia" w:asciiTheme="minorEastAsia" w:hAnsiTheme="minorEastAsia" w:eastAsiaTheme="minorEastAsia" w:cstheme="minorEastAsia"/>
          <w:bCs/>
          <w:color w:val="auto"/>
          <w:kern w:val="2"/>
          <w:sz w:val="24"/>
          <w:szCs w:val="24"/>
          <w:highlight w:val="none"/>
          <w:lang w:val="zh-CN" w:eastAsia="zh-CN"/>
        </w:rPr>
        <w:t>诉讼费、保全费、鉴定费等），均由成交人承担赔偿责任。</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zh-CN" w:eastAsia="zh-CN"/>
        </w:rPr>
        <w:t>（</w:t>
      </w:r>
      <w:r>
        <w:rPr>
          <w:rFonts w:hint="eastAsia" w:asciiTheme="minorEastAsia" w:hAnsiTheme="minorEastAsia" w:eastAsiaTheme="minorEastAsia" w:cstheme="minorEastAsia"/>
          <w:bCs/>
          <w:color w:val="auto"/>
          <w:kern w:val="2"/>
          <w:sz w:val="24"/>
          <w:szCs w:val="24"/>
          <w:highlight w:val="none"/>
          <w:lang w:val="en-US" w:eastAsia="zh-CN"/>
        </w:rPr>
        <w:t>3</w:t>
      </w:r>
      <w:r>
        <w:rPr>
          <w:rFonts w:hint="eastAsia" w:asciiTheme="minorEastAsia" w:hAnsiTheme="minorEastAsia" w:eastAsiaTheme="minorEastAsia" w:cstheme="minorEastAsia"/>
          <w:bCs/>
          <w:color w:val="auto"/>
          <w:kern w:val="2"/>
          <w:sz w:val="24"/>
          <w:szCs w:val="24"/>
          <w:highlight w:val="none"/>
          <w:lang w:val="zh-CN" w:eastAsia="zh-CN"/>
        </w:rPr>
        <w:t>） 通知与送达：</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zh-CN" w:eastAsia="zh-CN"/>
        </w:rPr>
        <w:t>成交人确认其送达地址为：</w:t>
      </w:r>
      <w:r>
        <w:rPr>
          <w:rFonts w:hint="eastAsia" w:asciiTheme="minorEastAsia" w:hAnsiTheme="minorEastAsia" w:eastAsiaTheme="minorEastAsia" w:cstheme="minorEastAsia"/>
          <w:color w:val="auto"/>
          <w:sz w:val="24"/>
          <w:szCs w:val="24"/>
          <w:highlight w:val="none"/>
          <w:u w:val="single"/>
          <w:lang w:val="en-US" w:eastAsia="zh-CN"/>
        </w:rPr>
        <w:t xml:space="preserve">  （说明：竞价时成交人无需填写，在签订采购合同时提供即可，本条款其他空格按本说明执行）</w:t>
      </w:r>
      <w:r>
        <w:rPr>
          <w:rFonts w:hint="eastAsia" w:asciiTheme="minorEastAsia" w:hAnsiTheme="minorEastAsia" w:eastAsiaTheme="minorEastAsia" w:cstheme="minorEastAsia"/>
          <w:color w:val="auto"/>
          <w:sz w:val="24"/>
          <w:szCs w:val="24"/>
          <w:highlight w:val="none"/>
          <w:lang w:val="en-US" w:eastAsia="zh-CN"/>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，联系电话：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，微信：</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Cs/>
          <w:color w:val="auto"/>
          <w:kern w:val="2"/>
          <w:sz w:val="24"/>
          <w:szCs w:val="24"/>
          <w:highlight w:val="none"/>
          <w:lang w:val="zh-CN" w:eastAsia="zh-CN"/>
        </w:rPr>
        <w:t>以上约定的单位地址、邮箱、电话等联系方式作为送达地址，适用范围包括但不限于各类告知书、通知书、工作联系单、协议文件、诉讼或仲裁文书，送达主体可以是本项目各方、人民法院、仲裁委员会及各行政机关。</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zh-CN" w:eastAsia="zh-CN"/>
        </w:rPr>
        <w:t>送达主体按照上述送达地址进行送达，视为有效送达；上述送达地址、受送达人、联系方式发生变更的，变更一方应履行通知义务，因送达地址变更后未及时书面告知，导致未能被送达主体实际接收的，邮寄送达的，以邮寄件退回之日视为送达之日；直接送达的，送达人当场在送达回证上记明情况之日视为送达之日；履行送达地址变更通知义务的，以变更后的送达地址为有效送达地址。</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16、</w:t>
      </w:r>
      <w:r>
        <w:rPr>
          <w:rFonts w:hint="eastAsia" w:asciiTheme="minorEastAsia" w:hAnsiTheme="minorEastAsia" w:eastAsiaTheme="minorEastAsia" w:cstheme="minorEastAsia"/>
          <w:color w:val="auto"/>
          <w:kern w:val="0"/>
          <w:sz w:val="24"/>
          <w:szCs w:val="24"/>
          <w:highlight w:val="none"/>
          <w:lang w:val="en-US" w:eastAsia="zh-CN" w:bidi="ar"/>
        </w:rPr>
        <w:t>为保障成交人全面诚信参与采购项目和合同履约，成交人截止至本竞价公告发布之日起前三年内有下列情形之一的，不得参加本项目竞价，否则视为无效响应：</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（1）在参与采购人组织的采购项目中，存在相应采购项目出现不予退还竞价保证金情形的；</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（2）在参与采购人组织的同一个采购项目中，以同一事由或类似事由质疑（含投诉）两次均不成立后仍继续质疑（投诉）的；</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在履行采购人组织的采购合同过程中，因各种违约行为被采购人没收履约保证金，或扣罚违约金或索赔赔偿金总计在10000元或以上的。注：以上行为能确定时间的以确定时间计算，不能有效计算时间的以其项目采购公告发布时间计算。</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17、</w:t>
      </w:r>
      <w:r>
        <w:rPr>
          <w:rFonts w:hint="eastAsia" w:asciiTheme="minorEastAsia" w:hAnsiTheme="minorEastAsia" w:eastAsiaTheme="minorEastAsia" w:cstheme="minorEastAsia"/>
          <w:color w:val="auto"/>
          <w:kern w:val="0"/>
          <w:sz w:val="24"/>
          <w:szCs w:val="24"/>
          <w:highlight w:val="none"/>
          <w:lang w:val="en-US" w:eastAsia="zh-CN" w:bidi="ar"/>
        </w:rPr>
        <w:t>在本项目竞价过程中，成交人有下列情形之一的，将自动被列入采购人（本条款所称采购人特指福建省闽西监狱和福建龙岩锦泰工贸有限责任公司，下同）自行采购项目（政府采购限额标准以下的采购项目）不良行为记录名单三年，从本项目结果公告之日起算，禁止其参与采购人自行采购项目。</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（1）存在本竞价过程中不予退还竞价保证金情形的；</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（2）存在本竞价过程中以同一事由或类似事由质疑（含投诉）两次均不成立后仍继续质疑（投诉）的；</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（3）存在本竞价过程中因各种违约行为被采购人没收履约保证金，或扣罚违约金或索赔赔偿金总计在10000元或以上的。</w:t>
      </w:r>
    </w:p>
    <w:p>
      <w:pPr>
        <w:spacing w:line="400" w:lineRule="exact"/>
        <w:rPr>
          <w:rFonts w:ascii="宋体" w:hAnsi="宋体"/>
          <w:b/>
          <w:color w:val="auto"/>
          <w:sz w:val="24"/>
          <w:szCs w:val="24"/>
          <w:highlight w:val="none"/>
        </w:rPr>
      </w:pPr>
    </w:p>
    <w:p>
      <w:pPr>
        <w:spacing w:line="400" w:lineRule="exact"/>
        <w:rPr>
          <w:rFonts w:ascii="宋体" w:hAnsi="宋体"/>
          <w:b/>
          <w:color w:val="auto"/>
          <w:sz w:val="24"/>
          <w:szCs w:val="24"/>
          <w:highlight w:val="none"/>
        </w:rPr>
      </w:pPr>
    </w:p>
    <w:p>
      <w:pPr>
        <w:rPr>
          <w:rFonts w:hint="eastAsia" w:ascii="宋体" w:hAnsi="宋体" w:eastAsia="宋体" w:cs="宋体"/>
          <w:b/>
          <w:bCs/>
          <w:color w:val="auto"/>
          <w:sz w:val="24"/>
          <w:szCs w:val="24"/>
          <w:highlight w:val="none"/>
          <w:lang w:val="en-US" w:eastAsia="zh-CN"/>
        </w:rPr>
      </w:pPr>
      <w:bookmarkStart w:id="5" w:name="_Toc18219"/>
      <w:bookmarkStart w:id="6" w:name="_Toc209515510"/>
      <w:r>
        <w:rPr>
          <w:rFonts w:hint="eastAsia" w:ascii="宋体" w:hAnsi="宋体" w:eastAsia="宋体" w:cs="宋体"/>
          <w:b/>
          <w:bCs/>
          <w:color w:val="auto"/>
          <w:sz w:val="24"/>
          <w:szCs w:val="24"/>
          <w:highlight w:val="none"/>
          <w:lang w:val="en-US" w:eastAsia="zh-CN"/>
        </w:rPr>
        <w:br w:type="page"/>
      </w:r>
    </w:p>
    <w:p>
      <w:pPr>
        <w:pStyle w:val="4"/>
        <w:pageBreakBefore w:val="0"/>
        <w:numPr>
          <w:ilvl w:val="0"/>
          <w:numId w:val="0"/>
        </w:numPr>
        <w:kinsoku/>
        <w:wordWrap/>
        <w:overflowPunct/>
        <w:topLinePunct w:val="0"/>
        <w:autoSpaceDE/>
        <w:autoSpaceDN/>
        <w:bidi w:val="0"/>
        <w:spacing w:beforeLines="0" w:afterLines="0"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附件1：                           </w:t>
      </w:r>
      <w:r>
        <w:rPr>
          <w:rFonts w:hint="eastAsia" w:ascii="宋体" w:hAnsi="宋体" w:eastAsia="宋体" w:cs="宋体"/>
          <w:b/>
          <w:bCs/>
          <w:color w:val="auto"/>
          <w:sz w:val="24"/>
          <w:szCs w:val="24"/>
          <w:highlight w:val="none"/>
        </w:rPr>
        <w:t>单位保密协议</w:t>
      </w:r>
      <w:bookmarkEnd w:id="5"/>
      <w:bookmarkEnd w:id="6"/>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 xml:space="preserve">甲方：福建龙岩锦泰工贸有限责任公司 </w:t>
      </w:r>
    </w:p>
    <w:p>
      <w:pPr>
        <w:widowControl/>
        <w:shd w:val="clear" w:color="auto" w:fill="FFFFFF"/>
        <w:spacing w:line="360" w:lineRule="exact"/>
        <w:ind w:firstLine="480" w:firstLineChars="200"/>
        <w:jc w:val="left"/>
        <w:rPr>
          <w:rFonts w:hint="eastAsia" w:ascii="宋体" w:hAnsi="宋体" w:eastAsia="宋体" w:cs="宋体"/>
          <w:color w:val="auto"/>
          <w:sz w:val="24"/>
          <w:szCs w:val="24"/>
          <w:highlight w:val="none"/>
        </w:rPr>
      </w:pPr>
      <w:r>
        <w:rPr>
          <w:rStyle w:val="22"/>
          <w:rFonts w:hint="eastAsia" w:ascii="宋体" w:hAnsi="宋体" w:cs="宋体"/>
          <w:b w:val="0"/>
          <w:color w:val="auto"/>
          <w:sz w:val="24"/>
          <w:szCs w:val="24"/>
          <w:highlight w:val="none"/>
          <w:lang w:val="en-US" w:eastAsia="zh-CN"/>
        </w:rPr>
        <w:t>乙方</w:t>
      </w:r>
      <w:r>
        <w:rPr>
          <w:rStyle w:val="22"/>
          <w:rFonts w:hint="eastAsia" w:ascii="宋体" w:hAnsi="宋体" w:eastAsia="宋体" w:cs="宋体"/>
          <w:b w:val="0"/>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 xml:space="preserve"> </w:t>
      </w:r>
      <w:r>
        <w:rPr>
          <w:rStyle w:val="22"/>
          <w:rFonts w:hint="eastAsia" w:ascii="宋体" w:hAnsi="宋体" w:eastAsia="宋体" w:cs="宋体"/>
          <w:b w:val="0"/>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cs="宋体"/>
          <w:b w:val="0"/>
          <w:color w:val="auto"/>
          <w:sz w:val="24"/>
          <w:szCs w:val="24"/>
          <w:highlight w:val="none"/>
          <w:lang w:val="en-US" w:eastAsia="zh-CN"/>
        </w:rPr>
        <w:t>乙方</w:t>
      </w:r>
      <w:r>
        <w:rPr>
          <w:rStyle w:val="22"/>
          <w:rFonts w:hint="eastAsia" w:ascii="宋体" w:hAnsi="宋体" w:eastAsia="宋体" w:cs="宋体"/>
          <w:b w:val="0"/>
          <w:color w:val="auto"/>
          <w:sz w:val="24"/>
          <w:szCs w:val="24"/>
          <w:highlight w:val="none"/>
        </w:rPr>
        <w:t>与甲方进行业务接触时，知晓甲方</w:t>
      </w:r>
      <w:r>
        <w:rPr>
          <w:rStyle w:val="22"/>
          <w:rFonts w:hint="eastAsia" w:ascii="宋体" w:hAnsi="宋体" w:eastAsia="宋体" w:cs="宋体"/>
          <w:b w:val="0"/>
          <w:color w:val="auto"/>
          <w:sz w:val="24"/>
          <w:szCs w:val="24"/>
          <w:highlight w:val="none"/>
          <w:lang w:eastAsia="zh-CN"/>
        </w:rPr>
        <w:t>（</w:t>
      </w:r>
      <w:r>
        <w:rPr>
          <w:rStyle w:val="22"/>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2"/>
          <w:rFonts w:hint="eastAsia" w:ascii="宋体" w:hAnsi="宋体" w:eastAsia="宋体" w:cs="宋体"/>
          <w:b w:val="0"/>
          <w:color w:val="auto"/>
          <w:sz w:val="24"/>
          <w:szCs w:val="24"/>
          <w:highlight w:val="none"/>
          <w:lang w:eastAsia="zh-CN"/>
        </w:rPr>
        <w:t>）</w:t>
      </w:r>
      <w:r>
        <w:rPr>
          <w:rStyle w:val="22"/>
          <w:rFonts w:hint="eastAsia" w:ascii="宋体" w:hAnsi="宋体" w:eastAsia="宋体" w:cs="宋体"/>
          <w:b w:val="0"/>
          <w:color w:val="auto"/>
          <w:sz w:val="24"/>
          <w:szCs w:val="24"/>
          <w:highlight w:val="none"/>
        </w:rPr>
        <w:t>的文件、资料、数据、信息及存储信息各类设备、载体均具有高度保密性；甲方工作人员也充分告知</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所参与、知悉的甲方有关工作属于国家秘密的范围，</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依法负有保守国家秘密的义务，不得有任何违反《中华人民共和国保守国家秘密法》等法律法规和甲方关于保密工作规章制度要求的行为。</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双方一致同意共同履行如下保密协议：</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1.</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承诺在订立合同过程中知悉、取得甲方相关业务信息、资料（包括但不限于：软件系统，各类书面材料，电子数据，采购数据、工作部署、安排、情况等，下同）后，无论合同是否成立、履行，均不得不正当地使用或以泄露、遗失、告知、公布、发表、传授、转让等方式使任何第三者知悉、取得。</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2.在</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持有、使用甲方相关资料的法定条件消失后或</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不得持有、使用甲方相关资料的情形出现时，</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应当立即将所有资料交还甲方，不得以恢复、复制、记录、存储等方式继续持有相关资料，甲方应对</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交还资料的工作予以积极督促、配合，提供便利；</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3.</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须自觉遵守国家有关保密法律法规和甲方关于保密工作的规章制度；</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4.</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对本公司工作人员所知悉和持有的甲方资料、信息，根据实际情况采取有效的保密防范措施和教育，不留泄密隐患，在保密信息解密之前，知悉和管理信息的</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具体工作人员对涉密信息负有保密责任。</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需为</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有关人员的保密职责和侵权责任等行为负责；</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5.</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接触甲方业务工作的人员离岗、离职前，由</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对其实行脱密期保守相关秘密的教育培训，并留存脱密教育的相关工作记录；</w:t>
      </w:r>
    </w:p>
    <w:p>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Style w:val="22"/>
          <w:rFonts w:hint="eastAsia" w:ascii="宋体" w:hAnsi="宋体" w:eastAsia="宋体" w:cs="宋体"/>
          <w:b w:val="0"/>
          <w:color w:val="auto"/>
          <w:sz w:val="24"/>
          <w:szCs w:val="24"/>
          <w:highlight w:val="none"/>
        </w:rPr>
        <w:t>6.甲、乙双方工作接触终止后，</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应依国家法律规定自觉履行保密义务，甲方应对</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进行必要的保密提示和监督。</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及其工作人员在履行职责中违反上述协议的，甲方有权追究</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及其相关人员承担相应法律责任, 有权解除双方签订的所有合作协议，有权视情要求</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偿付本项目合同金额</w:t>
      </w:r>
      <w:r>
        <w:rPr>
          <w:rStyle w:val="22"/>
          <w:rFonts w:hint="eastAsia" w:ascii="宋体" w:hAnsi="宋体" w:eastAsia="宋体" w:cs="宋体"/>
          <w:b w:val="0"/>
          <w:color w:val="auto"/>
          <w:sz w:val="24"/>
          <w:szCs w:val="24"/>
          <w:highlight w:val="none"/>
          <w:lang w:val="en-US" w:eastAsia="zh-CN"/>
        </w:rPr>
        <w:t>2</w:t>
      </w:r>
      <w:r>
        <w:rPr>
          <w:rStyle w:val="22"/>
          <w:rFonts w:hint="eastAsia" w:ascii="宋体" w:hAnsi="宋体" w:eastAsia="宋体" w:cs="宋体"/>
          <w:b w:val="0"/>
          <w:color w:val="auto"/>
          <w:sz w:val="24"/>
          <w:szCs w:val="24"/>
          <w:highlight w:val="none"/>
        </w:rPr>
        <w:t>0%的违约金，造成甲方损失的，</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还应予以赔偿。</w:t>
      </w: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440" w:lineRule="exact"/>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 xml:space="preserve">甲方（签字并盖章）：                   </w:t>
      </w:r>
      <w:r>
        <w:rPr>
          <w:rStyle w:val="22"/>
          <w:rFonts w:hint="eastAsia" w:ascii="宋体" w:hAnsi="宋体" w:cs="宋体"/>
          <w:b w:val="0"/>
          <w:color w:val="auto"/>
          <w:sz w:val="24"/>
          <w:szCs w:val="24"/>
          <w:highlight w:val="none"/>
          <w:lang w:eastAsia="zh-CN"/>
        </w:rPr>
        <w:t>乙方</w:t>
      </w:r>
      <w:r>
        <w:rPr>
          <w:rStyle w:val="22"/>
          <w:rFonts w:hint="eastAsia" w:ascii="宋体" w:hAnsi="宋体" w:eastAsia="宋体" w:cs="宋体"/>
          <w:b w:val="0"/>
          <w:color w:val="auto"/>
          <w:sz w:val="24"/>
          <w:szCs w:val="24"/>
          <w:highlight w:val="none"/>
        </w:rPr>
        <w:t>（签字并盖章）：</w:t>
      </w:r>
      <w:r>
        <w:rPr>
          <w:rStyle w:val="22"/>
          <w:rFonts w:hint="eastAsia" w:ascii="宋体" w:hAnsi="宋体" w:eastAsia="宋体" w:cs="宋体"/>
          <w:b w:val="0"/>
          <w:color w:val="auto"/>
          <w:sz w:val="24"/>
          <w:szCs w:val="24"/>
          <w:highlight w:val="none"/>
          <w:u w:val="none" w:color="auto"/>
        </w:rPr>
        <w:t xml:space="preserve">           </w:t>
      </w:r>
    </w:p>
    <w:p>
      <w:pPr>
        <w:pageBreakBefore w:val="0"/>
        <w:kinsoku/>
        <w:wordWrap/>
        <w:overflowPunct/>
        <w:topLinePunct w:val="0"/>
        <w:autoSpaceDE/>
        <w:autoSpaceDN/>
        <w:bidi w:val="0"/>
        <w:spacing w:line="440" w:lineRule="exact"/>
        <w:textAlignment w:val="auto"/>
        <w:rPr>
          <w:rStyle w:val="22"/>
          <w:rFonts w:hint="eastAsia" w:ascii="宋体" w:hAnsi="宋体" w:eastAsia="宋体" w:cs="宋体"/>
          <w:b w:val="0"/>
          <w:color w:val="auto"/>
          <w:sz w:val="24"/>
          <w:szCs w:val="24"/>
          <w:highlight w:val="none"/>
        </w:rPr>
      </w:pPr>
    </w:p>
    <w:p>
      <w:pPr>
        <w:pageBreakBefore w:val="0"/>
        <w:kinsoku/>
        <w:wordWrap/>
        <w:overflowPunct/>
        <w:topLinePunct w:val="0"/>
        <w:autoSpaceDE/>
        <w:autoSpaceDN/>
        <w:bidi w:val="0"/>
        <w:spacing w:line="440" w:lineRule="exact"/>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 xml:space="preserve">        年</w:t>
      </w:r>
      <w:r>
        <w:rPr>
          <w:rStyle w:val="22"/>
          <w:rFonts w:hint="eastAsia" w:ascii="宋体" w:hAnsi="宋体" w:eastAsia="宋体" w:cs="宋体"/>
          <w:b w:val="0"/>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月</w:t>
      </w:r>
      <w:r>
        <w:rPr>
          <w:rStyle w:val="22"/>
          <w:rFonts w:hint="eastAsia" w:ascii="宋体" w:hAnsi="宋体" w:eastAsia="宋体" w:cs="宋体"/>
          <w:b w:val="0"/>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 xml:space="preserve">日                </w:t>
      </w:r>
      <w:r>
        <w:rPr>
          <w:rStyle w:val="22"/>
          <w:rFonts w:hint="eastAsia" w:ascii="宋体" w:hAnsi="宋体" w:eastAsia="宋体" w:cs="宋体"/>
          <w:b w:val="0"/>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年</w:t>
      </w:r>
      <w:r>
        <w:rPr>
          <w:rStyle w:val="22"/>
          <w:rFonts w:hint="eastAsia" w:ascii="宋体" w:hAnsi="宋体" w:eastAsia="宋体" w:cs="宋体"/>
          <w:b w:val="0"/>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月</w:t>
      </w:r>
      <w:r>
        <w:rPr>
          <w:rStyle w:val="22"/>
          <w:rFonts w:hint="eastAsia" w:ascii="宋体" w:hAnsi="宋体" w:eastAsia="宋体" w:cs="宋体"/>
          <w:b w:val="0"/>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日</w:t>
      </w:r>
    </w:p>
    <w:p>
      <w:pPr>
        <w:pStyle w:val="4"/>
        <w:pageBreakBefore w:val="0"/>
        <w:numPr>
          <w:ilvl w:val="0"/>
          <w:numId w:val="0"/>
        </w:numPr>
        <w:kinsoku/>
        <w:wordWrap/>
        <w:overflowPunct/>
        <w:topLinePunct w:val="0"/>
        <w:autoSpaceDE/>
        <w:autoSpaceDN/>
        <w:bidi w:val="0"/>
        <w:spacing w:beforeLines="0" w:afterLines="0" w:line="440" w:lineRule="exact"/>
        <w:ind w:leftChars="0"/>
        <w:jc w:val="both"/>
        <w:textAlignment w:val="auto"/>
        <w:rPr>
          <w:rFonts w:hint="eastAsia" w:ascii="宋体" w:hAnsi="宋体" w:eastAsia="宋体" w:cs="宋体"/>
          <w:color w:val="auto"/>
          <w:sz w:val="24"/>
          <w:szCs w:val="24"/>
          <w:highlight w:val="none"/>
        </w:rPr>
      </w:pPr>
      <w:bookmarkStart w:id="7" w:name="_Toc209515511"/>
      <w:bookmarkStart w:id="8" w:name="_Toc944"/>
      <w:r>
        <w:rPr>
          <w:rFonts w:hint="eastAsia" w:ascii="宋体" w:hAnsi="宋体" w:eastAsia="宋体" w:cs="宋体"/>
          <w:color w:val="auto"/>
          <w:sz w:val="24"/>
          <w:szCs w:val="24"/>
          <w:highlight w:val="none"/>
          <w:lang w:val="en-US" w:eastAsia="zh-CN"/>
        </w:rPr>
        <w:t xml:space="preserve">附件2:                              </w:t>
      </w:r>
      <w:r>
        <w:rPr>
          <w:rFonts w:hint="eastAsia" w:ascii="宋体" w:hAnsi="宋体" w:eastAsia="宋体" w:cs="宋体"/>
          <w:color w:val="auto"/>
          <w:sz w:val="24"/>
          <w:szCs w:val="24"/>
          <w:highlight w:val="none"/>
        </w:rPr>
        <w:t>保密承诺书</w:t>
      </w:r>
      <w:bookmarkEnd w:id="7"/>
      <w:bookmarkEnd w:id="8"/>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本人所属或授权代理的公司与</w:t>
      </w:r>
      <w:r>
        <w:rPr>
          <w:rStyle w:val="22"/>
          <w:rFonts w:hint="eastAsia" w:ascii="宋体" w:hAnsi="宋体" w:eastAsia="宋体" w:cs="宋体"/>
          <w:b w:val="0"/>
          <w:color w:val="auto"/>
          <w:sz w:val="24"/>
          <w:szCs w:val="24"/>
          <w:highlight w:val="none"/>
          <w:lang w:val="en-US" w:eastAsia="zh-CN"/>
        </w:rPr>
        <w:t>甲方</w:t>
      </w:r>
      <w:r>
        <w:rPr>
          <w:rStyle w:val="22"/>
          <w:rFonts w:hint="eastAsia" w:ascii="宋体" w:hAnsi="宋体" w:eastAsia="宋体" w:cs="宋体"/>
          <w:b w:val="0"/>
          <w:color w:val="auto"/>
          <w:sz w:val="24"/>
          <w:szCs w:val="24"/>
          <w:highlight w:val="none"/>
        </w:rPr>
        <w:t>福建龙岩锦泰工贸有限责任公司正在履行相关采购合同,在办理合同相关事务中，本人了解有关保密法规制度，知悉应当承担的保密义务和法律责任</w:t>
      </w:r>
      <w:r>
        <w:rPr>
          <w:rStyle w:val="22"/>
          <w:rFonts w:hint="eastAsia" w:ascii="宋体" w:hAnsi="宋体" w:eastAsia="宋体" w:cs="宋体"/>
          <w:b w:val="0"/>
          <w:color w:val="auto"/>
          <w:sz w:val="24"/>
          <w:szCs w:val="24"/>
          <w:highlight w:val="none"/>
          <w:lang w:eastAsia="zh-CN"/>
        </w:rPr>
        <w:t>（</w:t>
      </w:r>
      <w:r>
        <w:rPr>
          <w:rStyle w:val="22"/>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2"/>
          <w:rFonts w:hint="eastAsia" w:ascii="宋体" w:hAnsi="宋体" w:eastAsia="宋体" w:cs="宋体"/>
          <w:b w:val="0"/>
          <w:color w:val="auto"/>
          <w:sz w:val="24"/>
          <w:szCs w:val="24"/>
          <w:highlight w:val="none"/>
        </w:rPr>
        <w:t>本人郑重承诺：</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一、认真遵守国家保密法律、法规和福建龙岩锦泰工贸有限责任公司相关规章制度，履行保密义务；</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二、不提供虚假个人信息，自愿接受保密审查；</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三、不违规记录、存储、复制国家秘密信息，不违规留存国家秘密载体，不违规将福建龙岩锦泰工贸有限责任公司工作文件等内部资料泄露出去；</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四、不以任何方式泄露所接触和知悉的国家秘密和福建龙岩锦泰工贸有限责任公司相关信息（包括但不限于工作信息）；</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五、未经福建龙岩锦泰工贸有限责任公司审查批准，不擅自发表涉及未公开工作内容的文章、著述；</w:t>
      </w:r>
    </w:p>
    <w:p>
      <w:pPr>
        <w:pageBreakBefore w:val="0"/>
        <w:kinsoku/>
        <w:wordWrap/>
        <w:overflowPunct/>
        <w:topLinePunct w:val="0"/>
        <w:autoSpaceDE/>
        <w:autoSpaceDN/>
        <w:bidi w:val="0"/>
        <w:spacing w:line="440" w:lineRule="exact"/>
        <w:ind w:firstLine="480" w:firstLineChars="200"/>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违反上述承诺，除了我所属或代理的公司按合同约定承担相关责任外，我自愿承担有关法律后果，自愿向福建龙岩锦泰工贸有限责任公司支付本人违反上述保密承诺的违约金</w:t>
      </w:r>
      <w:r>
        <w:rPr>
          <w:rStyle w:val="22"/>
          <w:rFonts w:hint="eastAsia" w:ascii="宋体" w:hAnsi="宋体" w:eastAsia="宋体" w:cs="宋体"/>
          <w:b w:val="0"/>
          <w:color w:val="auto"/>
          <w:sz w:val="24"/>
          <w:szCs w:val="24"/>
          <w:highlight w:val="none"/>
          <w:lang w:val="en-US" w:eastAsia="zh-CN"/>
        </w:rPr>
        <w:t>2</w:t>
      </w:r>
      <w:r>
        <w:rPr>
          <w:rStyle w:val="22"/>
          <w:rFonts w:hint="eastAsia" w:ascii="宋体" w:hAnsi="宋体" w:eastAsia="宋体" w:cs="宋体"/>
          <w:b w:val="0"/>
          <w:color w:val="auto"/>
          <w:sz w:val="24"/>
          <w:szCs w:val="24"/>
          <w:highlight w:val="none"/>
        </w:rPr>
        <w:t>0000元。</w:t>
      </w:r>
    </w:p>
    <w:p>
      <w:pPr>
        <w:pageBreakBefore w:val="0"/>
        <w:kinsoku/>
        <w:wordWrap/>
        <w:overflowPunct/>
        <w:topLinePunct w:val="0"/>
        <w:autoSpaceDE/>
        <w:autoSpaceDN/>
        <w:bidi w:val="0"/>
        <w:spacing w:line="440" w:lineRule="exact"/>
        <w:textAlignment w:val="auto"/>
        <w:rPr>
          <w:rStyle w:val="22"/>
          <w:rFonts w:hint="eastAsia" w:ascii="宋体" w:hAnsi="宋体" w:eastAsia="宋体" w:cs="宋体"/>
          <w:b w:val="0"/>
          <w:color w:val="auto"/>
          <w:sz w:val="24"/>
          <w:szCs w:val="24"/>
          <w:highlight w:val="none"/>
        </w:rPr>
      </w:pPr>
    </w:p>
    <w:p>
      <w:pPr>
        <w:pageBreakBefore w:val="0"/>
        <w:kinsoku/>
        <w:wordWrap/>
        <w:overflowPunct/>
        <w:topLinePunct w:val="0"/>
        <w:autoSpaceDE/>
        <w:autoSpaceDN/>
        <w:bidi w:val="0"/>
        <w:spacing w:line="440" w:lineRule="exact"/>
        <w:ind w:firstLine="4560" w:firstLineChars="1900"/>
        <w:textAlignment w:val="auto"/>
        <w:rPr>
          <w:rStyle w:val="22"/>
          <w:rFonts w:hint="eastAsia" w:ascii="宋体" w:hAnsi="宋体" w:eastAsia="宋体" w:cs="宋体"/>
          <w:b w:val="0"/>
          <w:color w:val="auto"/>
          <w:sz w:val="24"/>
          <w:szCs w:val="24"/>
          <w:highlight w:val="none"/>
          <w:u w:val="single"/>
          <w:lang w:val="en-US" w:eastAsia="zh-CN"/>
        </w:rPr>
      </w:pPr>
      <w:r>
        <w:rPr>
          <w:rStyle w:val="22"/>
          <w:rFonts w:hint="eastAsia" w:ascii="宋体" w:hAnsi="宋体" w:eastAsia="宋体" w:cs="宋体"/>
          <w:b w:val="0"/>
          <w:color w:val="auto"/>
          <w:sz w:val="24"/>
          <w:szCs w:val="24"/>
          <w:highlight w:val="none"/>
        </w:rPr>
        <w:t>承诺人签名：</w:t>
      </w:r>
    </w:p>
    <w:p>
      <w:pPr>
        <w:rPr>
          <w:color w:val="auto"/>
          <w:highlight w:val="none"/>
        </w:rPr>
      </w:pPr>
      <w:r>
        <w:rPr>
          <w:rStyle w:val="22"/>
          <w:rFonts w:hint="eastAsia" w:ascii="宋体" w:hAnsi="宋体" w:eastAsia="宋体" w:cs="宋体"/>
          <w:b w:val="0"/>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 xml:space="preserve">年  </w:t>
      </w:r>
      <w:r>
        <w:rPr>
          <w:rStyle w:val="22"/>
          <w:rFonts w:hint="eastAsia" w:ascii="宋体" w:hAnsi="宋体" w:eastAsia="宋体" w:cs="宋体"/>
          <w:b w:val="0"/>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 xml:space="preserve">月 </w:t>
      </w:r>
      <w:r>
        <w:rPr>
          <w:rStyle w:val="22"/>
          <w:rFonts w:hint="eastAsia" w:ascii="宋体" w:hAnsi="宋体" w:eastAsia="宋体" w:cs="宋体"/>
          <w:b w:val="0"/>
          <w:color w:val="auto"/>
          <w:sz w:val="24"/>
          <w:szCs w:val="24"/>
          <w:highlight w:val="none"/>
          <w:lang w:val="en-US" w:eastAsia="zh-CN"/>
        </w:rPr>
        <w:t xml:space="preserve">    </w:t>
      </w:r>
      <w:r>
        <w:rPr>
          <w:rStyle w:val="22"/>
          <w:rFonts w:hint="eastAsia" w:ascii="宋体" w:hAnsi="宋体" w:eastAsia="宋体" w:cs="宋体"/>
          <w:b w:val="0"/>
          <w:color w:val="auto"/>
          <w:sz w:val="24"/>
          <w:szCs w:val="24"/>
          <w:highlight w:val="none"/>
        </w:rPr>
        <w:t xml:space="preserve"> 日</w:t>
      </w:r>
    </w:p>
    <w:p>
      <w:pPr>
        <w:widowControl/>
        <w:spacing w:line="360" w:lineRule="exact"/>
        <w:jc w:val="left"/>
        <w:rPr>
          <w:rFonts w:hint="default" w:ascii="宋体" w:hAnsi="宋体"/>
          <w:color w:val="auto"/>
          <w:sz w:val="24"/>
          <w:szCs w:val="24"/>
          <w:highlight w:val="none"/>
          <w:lang w:val="en-US" w:eastAsia="zh-CN"/>
        </w:rPr>
      </w:pPr>
    </w:p>
    <w:p>
      <w:pPr>
        <w:pStyle w:val="28"/>
        <w:spacing w:line="360" w:lineRule="auto"/>
        <w:jc w:val="both"/>
        <w:outlineLvl w:val="1"/>
        <w:rPr>
          <w:rFonts w:hint="default" w:ascii="宋体" w:hAnsi="宋体" w:eastAsia="宋体" w:cs="宋体"/>
          <w:b/>
          <w:bCs w:val="0"/>
          <w:color w:val="auto"/>
          <w:sz w:val="24"/>
          <w:szCs w:val="24"/>
          <w:highlight w:val="none"/>
          <w:lang w:val="en-US" w:eastAsia="zh-CN"/>
        </w:rPr>
      </w:pPr>
    </w:p>
    <w:p>
      <w:pPr>
        <w:pStyle w:val="28"/>
        <w:spacing w:line="360" w:lineRule="auto"/>
        <w:jc w:val="both"/>
        <w:outlineLvl w:val="1"/>
        <w:rPr>
          <w:rFonts w:hint="default" w:ascii="宋体" w:hAnsi="宋体" w:cs="宋体"/>
          <w:b/>
          <w:bCs w:val="0"/>
          <w:color w:val="auto"/>
          <w:sz w:val="24"/>
          <w:szCs w:val="24"/>
          <w:highlight w:val="none"/>
        </w:rPr>
      </w:pPr>
    </w:p>
    <w:p>
      <w:pPr>
        <w:pStyle w:val="28"/>
        <w:spacing w:line="360" w:lineRule="auto"/>
        <w:jc w:val="both"/>
        <w:outlineLvl w:val="1"/>
        <w:rPr>
          <w:rFonts w:hint="default" w:ascii="宋体" w:hAnsi="宋体" w:cs="宋体"/>
          <w:b/>
          <w:bCs w:val="0"/>
          <w:color w:val="auto"/>
          <w:sz w:val="24"/>
          <w:szCs w:val="24"/>
          <w:highlight w:val="none"/>
        </w:rPr>
      </w:pPr>
    </w:p>
    <w:p>
      <w:pPr>
        <w:pStyle w:val="28"/>
        <w:spacing w:line="360" w:lineRule="auto"/>
        <w:jc w:val="both"/>
        <w:outlineLvl w:val="1"/>
        <w:rPr>
          <w:rFonts w:hint="default" w:ascii="宋体" w:hAnsi="宋体" w:cs="宋体"/>
          <w:b/>
          <w:bCs w:val="0"/>
          <w:color w:val="auto"/>
          <w:sz w:val="24"/>
          <w:szCs w:val="24"/>
          <w:highlight w:val="none"/>
        </w:rPr>
      </w:pPr>
    </w:p>
    <w:p>
      <w:pPr>
        <w:rPr>
          <w:rFonts w:ascii="宋体" w:hAnsi="宋体" w:cs="宋体"/>
          <w:b/>
          <w:color w:val="auto"/>
          <w:sz w:val="28"/>
          <w:szCs w:val="28"/>
          <w:highlight w:val="none"/>
        </w:rPr>
      </w:pPr>
      <w:r>
        <w:rPr>
          <w:rFonts w:ascii="宋体" w:hAnsi="宋体" w:cs="宋体"/>
          <w:b/>
          <w:color w:val="auto"/>
          <w:sz w:val="28"/>
          <w:szCs w:val="28"/>
          <w:highlight w:val="none"/>
        </w:rPr>
        <w:br w:type="page"/>
      </w:r>
    </w:p>
    <w:bookmarkEnd w:id="1"/>
    <w:bookmarkEnd w:id="2"/>
    <w:bookmarkEnd w:id="3"/>
    <w:bookmarkEnd w:id="4"/>
    <w:p>
      <w:pPr>
        <w:widowControl/>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合同参考文本</w:t>
      </w:r>
    </w:p>
    <w:p>
      <w:pPr>
        <w:pStyle w:val="18"/>
        <w:ind w:firstLine="0" w:firstLineChars="0"/>
        <w:rPr>
          <w:rFonts w:ascii="宋体" w:hAnsi="宋体" w:cs="宋体"/>
          <w:color w:val="auto"/>
          <w:highlight w:val="none"/>
        </w:rPr>
      </w:pPr>
    </w:p>
    <w:p>
      <w:pPr>
        <w:pStyle w:val="19"/>
        <w:rPr>
          <w:rFonts w:ascii="宋体" w:hAnsi="宋体" w:cs="宋体"/>
          <w:color w:val="auto"/>
          <w:highlight w:val="none"/>
        </w:rPr>
      </w:pPr>
    </w:p>
    <w:p>
      <w:pPr>
        <w:pStyle w:val="19"/>
        <w:jc w:val="center"/>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福建龙岩锦泰工贸有限责任公司工业空调机采购项目</w:t>
      </w:r>
    </w:p>
    <w:p>
      <w:pPr>
        <w:pStyle w:val="19"/>
        <w:jc w:val="center"/>
        <w:rPr>
          <w:rFonts w:ascii="宋体" w:hAnsi="宋体" w:cs="宋体"/>
          <w:color w:val="auto"/>
          <w:sz w:val="30"/>
          <w:szCs w:val="30"/>
          <w:highlight w:val="none"/>
        </w:rPr>
      </w:pPr>
      <w:r>
        <w:rPr>
          <w:rFonts w:hint="eastAsia" w:ascii="宋体" w:hAnsi="宋体" w:cs="宋体"/>
          <w:b/>
          <w:bCs/>
          <w:color w:val="auto"/>
          <w:sz w:val="30"/>
          <w:szCs w:val="30"/>
          <w:highlight w:val="none"/>
        </w:rPr>
        <w:t>采购合同</w:t>
      </w:r>
    </w:p>
    <w:p>
      <w:pPr>
        <w:spacing w:line="360" w:lineRule="auto"/>
        <w:ind w:firstLine="4803" w:firstLineChars="1495"/>
        <w:rPr>
          <w:rFonts w:ascii="宋体" w:hAnsi="宋体" w:cs="宋体"/>
          <w:b/>
          <w:color w:val="auto"/>
          <w:sz w:val="32"/>
          <w:szCs w:val="32"/>
          <w:highlight w:val="none"/>
        </w:rPr>
      </w:pPr>
    </w:p>
    <w:tbl>
      <w:tblPr>
        <w:tblStyle w:val="20"/>
        <w:tblW w:w="8858" w:type="dxa"/>
        <w:tblInd w:w="3" w:type="dxa"/>
        <w:tblLayout w:type="fixed"/>
        <w:tblCellMar>
          <w:top w:w="0" w:type="dxa"/>
          <w:left w:w="108" w:type="dxa"/>
          <w:bottom w:w="0" w:type="dxa"/>
          <w:right w:w="108" w:type="dxa"/>
        </w:tblCellMar>
      </w:tblPr>
      <w:tblGrid>
        <w:gridCol w:w="1476"/>
        <w:gridCol w:w="2426"/>
        <w:gridCol w:w="1370"/>
        <w:gridCol w:w="3586"/>
      </w:tblGrid>
      <w:tr>
        <w:tblPrEx>
          <w:tblCellMar>
            <w:top w:w="0" w:type="dxa"/>
            <w:left w:w="108" w:type="dxa"/>
            <w:bottom w:w="0" w:type="dxa"/>
            <w:right w:w="108" w:type="dxa"/>
          </w:tblCellMar>
        </w:tblPrEx>
        <w:trPr>
          <w:trHeight w:val="805" w:hRule="atLeast"/>
        </w:trPr>
        <w:tc>
          <w:tcPr>
            <w:tcW w:w="1476"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甲     方：</w:t>
            </w:r>
          </w:p>
          <w:p>
            <w:pPr>
              <w:spacing w:line="360" w:lineRule="auto"/>
              <w:rPr>
                <w:rFonts w:ascii="宋体" w:hAnsi="宋体" w:cs="宋体"/>
                <w:color w:val="auto"/>
                <w:sz w:val="24"/>
                <w:highlight w:val="none"/>
              </w:rPr>
            </w:pPr>
          </w:p>
        </w:tc>
        <w:tc>
          <w:tcPr>
            <w:tcW w:w="2426" w:type="dxa"/>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福建龙岩锦泰工贸有限责任公司</w:t>
            </w:r>
          </w:p>
        </w:tc>
        <w:tc>
          <w:tcPr>
            <w:tcW w:w="137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乙    方：</w:t>
            </w:r>
          </w:p>
          <w:p>
            <w:pPr>
              <w:spacing w:line="360" w:lineRule="auto"/>
              <w:rPr>
                <w:rFonts w:ascii="宋体" w:hAnsi="宋体" w:cs="宋体"/>
                <w:color w:val="auto"/>
                <w:sz w:val="24"/>
                <w:highlight w:val="none"/>
              </w:rPr>
            </w:pPr>
          </w:p>
        </w:tc>
        <w:tc>
          <w:tcPr>
            <w:tcW w:w="3586" w:type="dxa"/>
            <w:vAlign w:val="center"/>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trHeight w:val="805" w:hRule="atLeast"/>
        </w:trPr>
        <w:tc>
          <w:tcPr>
            <w:tcW w:w="1476"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甲方地址：</w:t>
            </w:r>
          </w:p>
        </w:tc>
        <w:tc>
          <w:tcPr>
            <w:tcW w:w="2426" w:type="dxa"/>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福建省龙岩市新罗区凤凰北路2号</w:t>
            </w:r>
          </w:p>
        </w:tc>
        <w:tc>
          <w:tcPr>
            <w:tcW w:w="1370" w:type="dxa"/>
          </w:tcPr>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乙方地址：</w:t>
            </w:r>
          </w:p>
        </w:tc>
        <w:tc>
          <w:tcPr>
            <w:tcW w:w="3586" w:type="dxa"/>
            <w:vAlign w:val="center"/>
          </w:tcPr>
          <w:p>
            <w:pPr>
              <w:spacing w:line="360" w:lineRule="auto"/>
              <w:rPr>
                <w:rFonts w:ascii="宋体" w:hAnsi="宋体" w:cs="宋体"/>
                <w:color w:val="auto"/>
                <w:sz w:val="24"/>
                <w:highlight w:val="non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签订地点：</w:t>
      </w:r>
      <w:r>
        <w:rPr>
          <w:rFonts w:hint="eastAsia" w:ascii="宋体" w:hAnsi="宋体" w:cs="宋体"/>
          <w:color w:val="auto"/>
          <w:sz w:val="24"/>
          <w:highlight w:val="none"/>
          <w:u w:val="single"/>
          <w:lang w:eastAsia="zh-CN"/>
        </w:rPr>
        <w:t>福建龙岩锦泰工贸有限责任公司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年   月    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甲方委托龙岩市鑫达工程管理有限公司对</w:t>
      </w:r>
      <w:r>
        <w:rPr>
          <w:rFonts w:hint="eastAsia" w:ascii="宋体" w:hAnsi="宋体" w:cs="宋体"/>
          <w:color w:val="auto"/>
          <w:sz w:val="24"/>
          <w:highlight w:val="none"/>
          <w:lang w:eastAsia="zh-CN"/>
        </w:rPr>
        <w:t>福建龙岩锦泰工贸有限责任公司工业空调机采购项目</w:t>
      </w:r>
      <w:r>
        <w:rPr>
          <w:rFonts w:hint="eastAsia" w:ascii="宋体" w:hAnsi="宋体" w:cs="宋体"/>
          <w:color w:val="auto"/>
          <w:sz w:val="24"/>
          <w:highlight w:val="none"/>
        </w:rPr>
        <w:t>进行网上竞价采购。根据竞价结果，乙方为</w:t>
      </w:r>
      <w:r>
        <w:rPr>
          <w:rFonts w:hint="eastAsia" w:ascii="宋体" w:hAnsi="宋体" w:cs="宋体"/>
          <w:color w:val="auto"/>
          <w:sz w:val="24"/>
          <w:highlight w:val="none"/>
          <w:lang w:val="en-US" w:eastAsia="zh-CN"/>
        </w:rPr>
        <w:t>成交人</w:t>
      </w:r>
      <w:r>
        <w:rPr>
          <w:rFonts w:hint="eastAsia" w:ascii="宋体" w:hAnsi="宋体" w:cs="宋体"/>
          <w:color w:val="auto"/>
          <w:sz w:val="24"/>
          <w:highlight w:val="none"/>
        </w:rPr>
        <w:t>，现依照</w:t>
      </w: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文件、响应文件的内容，双方达成如下协议：</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一、项目概况</w:t>
      </w:r>
    </w:p>
    <w:tbl>
      <w:tblPr>
        <w:tblStyle w:val="20"/>
        <w:tblW w:w="1027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1479"/>
        <w:gridCol w:w="2506"/>
        <w:gridCol w:w="879"/>
        <w:gridCol w:w="1487"/>
        <w:gridCol w:w="30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5" w:hRule="atLeast"/>
          <w:jc w:val="center"/>
        </w:trPr>
        <w:tc>
          <w:tcPr>
            <w:tcW w:w="854"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79"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品目编码</w:t>
            </w:r>
            <w:r>
              <w:rPr>
                <w:rFonts w:hint="eastAsia" w:asciiTheme="minorEastAsia" w:hAnsiTheme="minorEastAsia" w:eastAsiaTheme="minorEastAsia" w:cstheme="minorEastAsia"/>
                <w:color w:val="auto"/>
                <w:sz w:val="24"/>
                <w:szCs w:val="24"/>
                <w:highlight w:val="none"/>
                <w:lang w:val="en-US" w:eastAsia="zh-CN"/>
              </w:rPr>
              <w:t>及品目名称</w:t>
            </w:r>
          </w:p>
        </w:tc>
        <w:tc>
          <w:tcPr>
            <w:tcW w:w="2506"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标的</w:t>
            </w:r>
            <w:r>
              <w:rPr>
                <w:rFonts w:hint="eastAsia" w:asciiTheme="minorEastAsia" w:hAnsiTheme="minorEastAsia" w:eastAsiaTheme="minorEastAsia" w:cstheme="minorEastAsia"/>
                <w:color w:val="auto"/>
                <w:sz w:val="24"/>
                <w:szCs w:val="24"/>
                <w:highlight w:val="none"/>
              </w:rPr>
              <w:t>名称</w:t>
            </w:r>
          </w:p>
        </w:tc>
        <w:tc>
          <w:tcPr>
            <w:tcW w:w="879"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487"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计量单位</w:t>
            </w:r>
          </w:p>
        </w:tc>
        <w:tc>
          <w:tcPr>
            <w:tcW w:w="3072"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项目成交金额</w:t>
            </w:r>
            <w:r>
              <w:rPr>
                <w:rFonts w:hint="eastAsia" w:asciiTheme="minorEastAsia" w:hAnsiTheme="minorEastAsia" w:eastAsiaTheme="minorEastAsia" w:cstheme="minorEastAsia"/>
                <w:color w:val="auto"/>
                <w:sz w:val="24"/>
                <w:szCs w:val="24"/>
                <w:highlight w:val="none"/>
              </w:rPr>
              <w:t>（元）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854"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79"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A02052305</w:t>
            </w:r>
          </w:p>
        </w:tc>
        <w:tc>
          <w:tcPr>
            <w:tcW w:w="2506"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highlight w:val="none"/>
                <w:lang w:eastAsia="zh-CN"/>
              </w:rPr>
              <w:t>福建龙岩锦泰工贸有限责任公司工业空调机采购项目</w:t>
            </w:r>
          </w:p>
        </w:tc>
        <w:tc>
          <w:tcPr>
            <w:tcW w:w="879"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w:t>
            </w:r>
          </w:p>
        </w:tc>
        <w:tc>
          <w:tcPr>
            <w:tcW w:w="1487" w:type="dxa"/>
            <w:vAlign w:val="center"/>
          </w:tcPr>
          <w:p>
            <w:pPr>
              <w:pStyle w:val="2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批</w:t>
            </w:r>
          </w:p>
        </w:tc>
        <w:tc>
          <w:tcPr>
            <w:tcW w:w="3072" w:type="dxa"/>
            <w:vAlign w:val="center"/>
          </w:tcPr>
          <w:p>
            <w:pPr>
              <w:pStyle w:val="28"/>
              <w:keepNext w:val="0"/>
              <w:keepLines w:val="0"/>
              <w:pageBreakBefore w:val="0"/>
              <w:kinsoku/>
              <w:wordWrap/>
              <w:overflowPunct/>
              <w:topLinePunct w:val="0"/>
              <w:autoSpaceDE/>
              <w:autoSpaceDN/>
              <w:bidi w:val="0"/>
              <w:adjustRightInd/>
              <w:snapToGrid/>
              <w:spacing w:line="360" w:lineRule="auto"/>
              <w:jc w:val="left"/>
              <w:textAlignment w:val="auto"/>
              <w:rPr>
                <w:rFonts w:hint="eastAsia" w:eastAsia="宋体" w:asciiTheme="minorEastAsia" w:hAnsiTheme="minorEastAsia" w:cstheme="minorEastAsia"/>
                <w:color w:val="auto"/>
                <w:sz w:val="24"/>
                <w:szCs w:val="24"/>
                <w:highlight w:val="none"/>
                <w:lang w:val="en-US" w:eastAsia="zh-CN"/>
              </w:rPr>
            </w:pPr>
            <w:r>
              <w:rPr>
                <w:rFonts w:hint="eastAsia" w:ascii="宋体" w:hAnsi="宋体" w:cs="宋体"/>
                <w:color w:val="auto"/>
                <w:sz w:val="24"/>
                <w:highlight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p>
        </w:tc>
      </w:tr>
    </w:tbl>
    <w:p>
      <w:pPr>
        <w:numPr>
          <w:ilvl w:val="0"/>
          <w:numId w:val="0"/>
        </w:numPr>
        <w:spacing w:line="360" w:lineRule="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报价明细：</w:t>
      </w:r>
    </w:p>
    <w:tbl>
      <w:tblPr>
        <w:tblStyle w:val="20"/>
        <w:tblW w:w="511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9"/>
        <w:gridCol w:w="1076"/>
        <w:gridCol w:w="2235"/>
        <w:gridCol w:w="1004"/>
        <w:gridCol w:w="1015"/>
        <w:gridCol w:w="982"/>
        <w:gridCol w:w="1474"/>
        <w:gridCol w:w="13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59" w:hRule="atLeast"/>
        </w:trPr>
        <w:tc>
          <w:tcPr>
            <w:tcW w:w="519" w:type="pct"/>
            <w:noWrap/>
          </w:tcPr>
          <w:p>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527" w:type="pct"/>
            <w:noWrap/>
            <w:vAlign w:val="center"/>
          </w:tcPr>
          <w:p>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1096" w:type="pct"/>
            <w:noWrap/>
          </w:tcPr>
          <w:p>
            <w:pPr>
              <w:pStyle w:val="28"/>
              <w:widowControl w:val="0"/>
              <w:spacing w:line="360" w:lineRule="auto"/>
              <w:jc w:val="center"/>
              <w:rPr>
                <w:rFonts w:hint="default" w:ascii="宋体" w:hAnsi="宋体" w:cs="宋体"/>
                <w:color w:val="auto"/>
                <w:kern w:val="0"/>
                <w:sz w:val="24"/>
                <w:szCs w:val="24"/>
                <w:highlight w:val="none"/>
              </w:rPr>
            </w:pPr>
            <w:r>
              <w:rPr>
                <w:rFonts w:hint="eastAsia" w:ascii="宋体" w:hAnsi="宋体" w:cs="宋体"/>
                <w:b w:val="0"/>
                <w:bCs w:val="0"/>
                <w:color w:val="auto"/>
                <w:sz w:val="24"/>
                <w:szCs w:val="24"/>
                <w:highlight w:val="none"/>
                <w:lang w:val="en-US" w:eastAsia="zh-CN"/>
              </w:rPr>
              <w:t>货物</w:t>
            </w:r>
            <w:r>
              <w:rPr>
                <w:rFonts w:ascii="宋体" w:hAnsi="宋体" w:cs="宋体"/>
                <w:b w:val="0"/>
                <w:bCs w:val="0"/>
                <w:color w:val="auto"/>
                <w:sz w:val="24"/>
                <w:szCs w:val="24"/>
                <w:highlight w:val="none"/>
              </w:rPr>
              <w:t>名称</w:t>
            </w:r>
          </w:p>
        </w:tc>
        <w:tc>
          <w:tcPr>
            <w:tcW w:w="492" w:type="pct"/>
            <w:noWrap/>
          </w:tcPr>
          <w:p>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数量</w:t>
            </w:r>
          </w:p>
        </w:tc>
        <w:tc>
          <w:tcPr>
            <w:tcW w:w="497" w:type="pct"/>
            <w:noWrap/>
          </w:tcPr>
          <w:p>
            <w:pPr>
              <w:pStyle w:val="28"/>
              <w:widowControl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单位</w:t>
            </w:r>
          </w:p>
        </w:tc>
        <w:tc>
          <w:tcPr>
            <w:tcW w:w="481" w:type="pct"/>
            <w:noWrap/>
          </w:tcPr>
          <w:p>
            <w:pPr>
              <w:pStyle w:val="28"/>
              <w:widowControl w:val="0"/>
              <w:spacing w:line="360" w:lineRule="auto"/>
              <w:jc w:val="center"/>
              <w:rPr>
                <w:rFonts w:hint="default" w:ascii="宋体" w:hAnsi="宋体" w:cs="宋体"/>
                <w:color w:val="auto"/>
                <w:kern w:val="0"/>
                <w:sz w:val="24"/>
                <w:szCs w:val="24"/>
                <w:highlight w:val="none"/>
              </w:rPr>
            </w:pPr>
            <w:r>
              <w:rPr>
                <w:rFonts w:hint="eastAsia" w:ascii="宋体" w:hAnsi="宋体" w:eastAsia="宋体" w:cs="宋体"/>
                <w:bCs/>
                <w:color w:val="auto"/>
                <w:kern w:val="2"/>
                <w:sz w:val="24"/>
                <w:szCs w:val="24"/>
                <w:highlight w:val="none"/>
                <w:lang w:val="en-US" w:eastAsia="zh-CN" w:bidi="ar-SA"/>
              </w:rPr>
              <w:t>品牌</w:t>
            </w:r>
          </w:p>
        </w:tc>
        <w:tc>
          <w:tcPr>
            <w:tcW w:w="722" w:type="pct"/>
            <w:noWrap/>
          </w:tcPr>
          <w:p>
            <w:pPr>
              <w:pStyle w:val="28"/>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规格/型号</w:t>
            </w:r>
          </w:p>
        </w:tc>
        <w:tc>
          <w:tcPr>
            <w:tcW w:w="662" w:type="pct"/>
            <w:noWrap/>
          </w:tcPr>
          <w:p>
            <w:pPr>
              <w:pStyle w:val="28"/>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生产厂家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restart"/>
            <w:noWrap/>
            <w:vAlign w:val="center"/>
          </w:tcPr>
          <w:p>
            <w:pPr>
              <w:pStyle w:val="28"/>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工业单冷机主机</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冷却塔</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6"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分支供水/回水管</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1-4</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主循环管</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745</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1-5</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循环泵</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1-6</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冷凝水管</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384</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1-7</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冷却塔电箱</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1-8</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内外机</w:t>
            </w:r>
            <w:r>
              <w:rPr>
                <w:rFonts w:hint="eastAsia" w:asciiTheme="minorEastAsia" w:hAnsiTheme="minorEastAsia" w:eastAsiaTheme="minorEastAsia" w:cstheme="minorEastAsia"/>
                <w:color w:val="auto"/>
                <w:kern w:val="0"/>
                <w:sz w:val="24"/>
                <w:szCs w:val="24"/>
                <w:highlight w:val="none"/>
                <w:lang w:bidi="ar"/>
              </w:rPr>
              <w:t>电源线</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1050</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1-9</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水塔开关</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1-10</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水泵开关</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1-11</w:t>
            </w:r>
          </w:p>
        </w:tc>
        <w:tc>
          <w:tcPr>
            <w:tcW w:w="109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主机开关</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7"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1-12</w:t>
            </w:r>
          </w:p>
        </w:tc>
        <w:tc>
          <w:tcPr>
            <w:tcW w:w="1096"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辅材</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49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2" w:type="pct"/>
            <w:noWrap/>
          </w:tcPr>
          <w:p>
            <w:pPr>
              <w:spacing w:line="360" w:lineRule="auto"/>
              <w:rPr>
                <w:rFonts w:ascii="宋体" w:hAnsi="宋体" w:cs="宋体"/>
                <w:color w:val="auto"/>
                <w:sz w:val="24"/>
                <w:highlight w:val="none"/>
              </w:rPr>
            </w:pPr>
          </w:p>
        </w:tc>
      </w:tr>
    </w:tbl>
    <w:p>
      <w:pPr>
        <w:numPr>
          <w:ilvl w:val="0"/>
          <w:numId w:val="3"/>
        </w:num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技术服务及要求：</w:t>
      </w:r>
    </w:p>
    <w:tbl>
      <w:tblPr>
        <w:tblStyle w:val="20"/>
        <w:tblpPr w:leftFromText="180" w:rightFromText="180" w:vertAnchor="text" w:horzAnchor="page" w:tblpX="917" w:tblpY="682"/>
        <w:tblOverlap w:val="never"/>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81"/>
        <w:gridCol w:w="907"/>
        <w:gridCol w:w="554"/>
        <w:gridCol w:w="553"/>
        <w:gridCol w:w="618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06" w:hRule="atLeast"/>
        </w:trPr>
        <w:tc>
          <w:tcPr>
            <w:tcW w:w="443"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合同包</w:t>
            </w:r>
          </w:p>
        </w:tc>
        <w:tc>
          <w:tcPr>
            <w:tcW w:w="442"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品目号</w:t>
            </w:r>
          </w:p>
        </w:tc>
        <w:tc>
          <w:tcPr>
            <w:tcW w:w="455"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货物</w:t>
            </w:r>
            <w:r>
              <w:rPr>
                <w:rFonts w:hint="eastAsia" w:ascii="宋体" w:hAnsi="宋体" w:eastAsia="宋体" w:cs="宋体"/>
                <w:bCs/>
                <w:color w:val="auto"/>
                <w:sz w:val="24"/>
                <w:szCs w:val="24"/>
                <w:highlight w:val="none"/>
              </w:rPr>
              <w:t>名称</w:t>
            </w:r>
          </w:p>
        </w:tc>
        <w:tc>
          <w:tcPr>
            <w:tcW w:w="278"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数量</w:t>
            </w:r>
          </w:p>
        </w:tc>
        <w:tc>
          <w:tcPr>
            <w:tcW w:w="277"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p>
        </w:tc>
        <w:tc>
          <w:tcPr>
            <w:tcW w:w="3102" w:type="pct"/>
            <w:tcBorders>
              <w:top w:val="double" w:color="auto" w:sz="4" w:space="0"/>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2" w:hRule="atLeast"/>
        </w:trPr>
        <w:tc>
          <w:tcPr>
            <w:tcW w:w="443" w:type="pct"/>
            <w:vMerge w:val="restar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bCs/>
                <w:color w:val="auto"/>
                <w:sz w:val="24"/>
                <w:szCs w:val="24"/>
                <w:highlight w:val="none"/>
                <w:lang w:val="en-US" w:eastAsia="zh-CN"/>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工业单冷机主机</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18</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1.制冷量≥35KW；</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2.最大风量≥7000m³/h;</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3.电压/电流：380V；电流≥11A；</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4.送风距离：15-20米；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5.采用R22冷媒；</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6.采用离心风机；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7.具有高低压保护；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8.具有过载保护；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9.具有防冻结保护；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10.具有压缩机延时保护；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11.额定功率：≥6KW；</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12.外壳为热镀锌板材质，底板为双层不锈钢材质；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13.采用涡旋式压缩机；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14.冷凝器采用纯铜厚度为≥1.0mm铜管；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15.冷凝器整体为三排铜管L型布局；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16.采用四孔射流风口，风口直径≥150mm;</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17.具备除尘、除湿、通风、制冷四个功能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冷却塔</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1.流量</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60t/h；</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2.支柱数量</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:8支；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3.外壳材料：玻璃钢，厚度：4mm±0.2mm；</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4.功率</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1.5KW；</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5.含法兰、活接、直接、弯头等；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分支供水/回水管</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1.材料符合国标PPR管要求；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2.含弯头、三通、直接等；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主循环管</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745</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1.材料符合国标PPR管要求；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2.含弯头、三通、直接等；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循环泵</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1.流量≥60m³/h；</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2.扬程≥30m；</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3.功率≥7.5KW；</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4.转速≥1450转/分钟；</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5.泵体铸铁HT200，叶轮不锈钢；</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6.含法兰、接头、垫片等；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1-6</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冷凝水管</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384</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1.材料符合国标PVC管要求；</w:t>
            </w:r>
          </w:p>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2壁厚：≥3.5mm；</w:t>
            </w:r>
          </w:p>
          <w:p>
            <w:pPr>
              <w:pStyle w:val="33"/>
              <w:pageBreakBefore w:val="0"/>
              <w:numPr>
                <w:ilvl w:val="4"/>
                <w:numId w:val="0"/>
              </w:numPr>
              <w:kinsoku/>
              <w:wordWrap/>
              <w:overflowPunct/>
              <w:topLinePunct w:val="0"/>
              <w:autoSpaceDE/>
              <w:autoSpaceDN/>
              <w:bidi w:val="0"/>
              <w:adjustRightInd w:val="0"/>
              <w:snapToGrid w:val="0"/>
              <w:spacing w:before="0" w:beforeAutospacing="0" w:after="0" w:afterAutospacing="0" w:line="3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3.含保温棉、弯头、三通、直接等；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冷却塔电箱</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1.规格：800mm</w:t>
            </w:r>
            <w:r>
              <w:rPr>
                <w:rFonts w:hint="eastAsia" w:ascii="宋体" w:hAnsi="宋体" w:eastAsia="宋体" w:cs="宋体"/>
                <w:b w:val="0"/>
                <w:bCs w:val="0"/>
                <w:color w:val="auto"/>
                <w:sz w:val="24"/>
                <w:szCs w:val="24"/>
                <w:highlight w:val="none"/>
                <w:lang w:val="en-US" w:eastAsia="zh-CN"/>
              </w:rPr>
              <w:t>±10mm×</w:t>
            </w:r>
            <w:r>
              <w:rPr>
                <w:rFonts w:hint="eastAsia" w:ascii="宋体" w:hAnsi="宋体" w:eastAsia="宋体" w:cs="宋体"/>
                <w:b w:val="0"/>
                <w:bCs/>
                <w:color w:val="auto"/>
                <w:kern w:val="2"/>
                <w:sz w:val="24"/>
                <w:szCs w:val="24"/>
                <w:highlight w:val="none"/>
                <w:lang w:val="en-US" w:eastAsia="zh-CN" w:bidi="ar-SA"/>
              </w:rPr>
              <w:t>1000mm</w:t>
            </w:r>
            <w:r>
              <w:rPr>
                <w:rFonts w:hint="eastAsia" w:ascii="宋体" w:hAnsi="宋体" w:eastAsia="宋体" w:cs="宋体"/>
                <w:b w:val="0"/>
                <w:bCs w:val="0"/>
                <w:color w:val="auto"/>
                <w:sz w:val="24"/>
                <w:szCs w:val="24"/>
                <w:highlight w:val="none"/>
                <w:lang w:val="en-US" w:eastAsia="zh-CN"/>
              </w:rPr>
              <w:t>±10mm×</w:t>
            </w:r>
            <w:r>
              <w:rPr>
                <w:rFonts w:hint="eastAsia" w:ascii="宋体" w:hAnsi="宋体" w:eastAsia="宋体" w:cs="宋体"/>
                <w:b w:val="0"/>
                <w:bCs/>
                <w:color w:val="auto"/>
                <w:kern w:val="2"/>
                <w:sz w:val="24"/>
                <w:szCs w:val="24"/>
                <w:highlight w:val="none"/>
                <w:lang w:val="en-US" w:eastAsia="zh-CN" w:bidi="ar-SA"/>
              </w:rPr>
              <w:t>200mm</w:t>
            </w:r>
            <w:r>
              <w:rPr>
                <w:rFonts w:hint="eastAsia" w:ascii="宋体" w:hAnsi="宋体" w:eastAsia="宋体" w:cs="宋体"/>
                <w:b w:val="0"/>
                <w:bCs w:val="0"/>
                <w:color w:val="auto"/>
                <w:sz w:val="24"/>
                <w:szCs w:val="24"/>
                <w:highlight w:val="none"/>
                <w:lang w:val="en-US" w:eastAsia="zh-CN"/>
              </w:rPr>
              <w:t>±10mm</w:t>
            </w:r>
            <w:r>
              <w:rPr>
                <w:rFonts w:hint="eastAsia" w:ascii="宋体" w:hAnsi="宋体" w:eastAsia="宋体" w:cs="宋体"/>
                <w:b w:val="0"/>
                <w:bCs/>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2.材质不锈钢板，壁厚≥1mm；</w:t>
            </w:r>
          </w:p>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color w:val="auto"/>
                <w:kern w:val="2"/>
                <w:sz w:val="24"/>
                <w:szCs w:val="24"/>
                <w:highlight w:val="none"/>
                <w:lang w:val="en-US" w:eastAsia="zh-CN" w:bidi="ar-SA"/>
              </w:rPr>
              <w:t>3.配套标准安装附件。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1-8</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内外机</w:t>
            </w:r>
            <w:r>
              <w:rPr>
                <w:rFonts w:hint="eastAsia" w:ascii="宋体" w:hAnsi="宋体" w:eastAsia="宋体" w:cs="宋体"/>
                <w:color w:val="auto"/>
                <w:kern w:val="0"/>
                <w:sz w:val="24"/>
                <w:szCs w:val="24"/>
                <w:highlight w:val="none"/>
                <w:lang w:bidi="ar"/>
              </w:rPr>
              <w:t>电源线</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1050</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1.材料符合相关国标要求；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2.规格：≥（3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4+1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1.5）-PE1.5</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3.YJV铜芯交联聚乙烯绝缘聚氯乙烯护套电力电缆；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4.含接头、线管、弯头等；；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5.每台单独电线到电箱，独立控制；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1-9</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水塔开关</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1.材料符合相关国标要求；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2.电流：≥25A；</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3.相数：三相；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4.含接头、固定块等；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1-10</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水泵开关</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1.材料符合相关国标要求；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2.电流：≥63A；</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3.相数：三相；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4.含接头、固定块等；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p>
        </w:tc>
        <w:tc>
          <w:tcPr>
            <w:tcW w:w="442"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1-11</w:t>
            </w:r>
          </w:p>
        </w:tc>
        <w:tc>
          <w:tcPr>
            <w:tcW w:w="455" w:type="pct"/>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主机开关</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1.材料符合相关国标要求；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2.电流：≥63A</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3.相数：三相；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4.含接头、固定块等；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43" w:type="pct"/>
            <w:vMerge w:val="continue"/>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bCs/>
                <w:color w:val="auto"/>
                <w:sz w:val="24"/>
                <w:szCs w:val="24"/>
                <w:highlight w:val="none"/>
                <w:lang w:val="en-US" w:eastAsia="zh-CN"/>
              </w:rPr>
            </w:pPr>
          </w:p>
        </w:tc>
        <w:tc>
          <w:tcPr>
            <w:tcW w:w="442"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1-12</w:t>
            </w:r>
          </w:p>
        </w:tc>
        <w:tc>
          <w:tcPr>
            <w:tcW w:w="455"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辅材</w:t>
            </w:r>
          </w:p>
        </w:tc>
        <w:tc>
          <w:tcPr>
            <w:tcW w:w="278"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277" w:type="pct"/>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3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3102" w:type="pct"/>
            <w:noWrap/>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1.按实际安装需求配套；</w:t>
            </w:r>
          </w:p>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2.含升降机、丝杠、叉车、墙面开孔等；</w:t>
            </w:r>
          </w:p>
        </w:tc>
      </w:tr>
    </w:tbl>
    <w:p>
      <w:pPr>
        <w:pStyle w:val="2"/>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备注：上述参数涉及尺寸、体积、重量等数据的，除有明确要求外，允许数据正负偏离5%，允许性能正偏离。</w:t>
      </w:r>
    </w:p>
    <w:p>
      <w:pPr>
        <w:numPr>
          <w:ilvl w:val="0"/>
          <w:numId w:val="4"/>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商务条件：</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1、交付地点：</w:t>
      </w:r>
      <w:r>
        <w:rPr>
          <w:rFonts w:hint="eastAsia" w:ascii="宋体" w:hAnsi="宋体" w:cs="宋体"/>
          <w:color w:val="auto"/>
          <w:sz w:val="24"/>
          <w:highlight w:val="none"/>
          <w:lang w:eastAsia="zh-CN"/>
        </w:rPr>
        <w:t>福建省龙岩市新罗区凤凰北路2号</w:t>
      </w:r>
      <w:r>
        <w:rPr>
          <w:rFonts w:hint="eastAsia" w:ascii="宋体" w:hAnsi="宋体" w:cs="宋体"/>
          <w:color w:val="auto"/>
          <w:sz w:val="24"/>
          <w:highlight w:val="none"/>
        </w:rPr>
        <w:t>，甲方指定地点。</w:t>
      </w:r>
    </w:p>
    <w:p>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2"/>
          <w:rFonts w:hint="eastAsia" w:asciiTheme="minorEastAsia" w:hAnsiTheme="minorEastAsia" w:eastAsiaTheme="minorEastAsia" w:cstheme="minorEastAsia"/>
          <w:color w:val="auto"/>
          <w:highlight w:val="none"/>
        </w:rPr>
      </w:pPr>
      <w:r>
        <w:rPr>
          <w:rStyle w:val="22"/>
          <w:rFonts w:hint="eastAsia" w:asciiTheme="minorEastAsia" w:hAnsiTheme="minorEastAsia" w:eastAsiaTheme="minorEastAsia" w:cstheme="minorEastAsia"/>
          <w:color w:val="auto"/>
          <w:highlight w:val="none"/>
        </w:rPr>
        <w:t>2、</w:t>
      </w:r>
      <w:r>
        <w:rPr>
          <w:rStyle w:val="22"/>
          <w:rFonts w:hint="eastAsia" w:asciiTheme="minorEastAsia" w:hAnsiTheme="minorEastAsia" w:eastAsiaTheme="minorEastAsia" w:cstheme="minorEastAsia"/>
          <w:color w:val="auto"/>
          <w:highlight w:val="none"/>
          <w:lang w:val="en-US" w:eastAsia="zh-CN"/>
        </w:rPr>
        <w:t>交货时间</w:t>
      </w:r>
      <w:r>
        <w:rPr>
          <w:rStyle w:val="22"/>
          <w:rFonts w:hint="eastAsia" w:asciiTheme="minorEastAsia" w:hAnsiTheme="minorEastAsia" w:eastAsiaTheme="minorEastAsia" w:cstheme="minorEastAsia"/>
          <w:color w:val="auto"/>
          <w:highlight w:val="none"/>
        </w:rPr>
        <w:t>：</w:t>
      </w:r>
      <w:r>
        <w:rPr>
          <w:rStyle w:val="22"/>
          <w:rFonts w:hint="eastAsia" w:asciiTheme="minorEastAsia" w:hAnsiTheme="minorEastAsia" w:eastAsiaTheme="minorEastAsia" w:cstheme="minorEastAsia"/>
          <w:b w:val="0"/>
          <w:bCs w:val="0"/>
          <w:color w:val="auto"/>
          <w:highlight w:val="none"/>
        </w:rPr>
        <w:t>合同签订后</w:t>
      </w:r>
      <w:r>
        <w:rPr>
          <w:rStyle w:val="22"/>
          <w:rFonts w:hint="eastAsia" w:asciiTheme="minorEastAsia" w:hAnsiTheme="minorEastAsia" w:eastAsiaTheme="minorEastAsia" w:cstheme="minorEastAsia"/>
          <w:b w:val="0"/>
          <w:bCs w:val="0"/>
          <w:color w:val="auto"/>
          <w:highlight w:val="none"/>
          <w:lang w:val="en-US" w:eastAsia="zh-CN"/>
        </w:rPr>
        <w:t>30</w:t>
      </w:r>
      <w:r>
        <w:rPr>
          <w:rStyle w:val="22"/>
          <w:rFonts w:hint="eastAsia" w:asciiTheme="minorEastAsia" w:hAnsiTheme="minorEastAsia" w:eastAsiaTheme="minorEastAsia" w:cstheme="minorEastAsia"/>
          <w:b w:val="0"/>
          <w:bCs w:val="0"/>
          <w:color w:val="auto"/>
          <w:highlight w:val="none"/>
        </w:rPr>
        <w:t>天</w:t>
      </w:r>
      <w:r>
        <w:rPr>
          <w:rStyle w:val="22"/>
          <w:rFonts w:hint="eastAsia" w:asciiTheme="minorEastAsia" w:hAnsiTheme="minorEastAsia" w:eastAsiaTheme="minorEastAsia" w:cstheme="minorEastAsia"/>
          <w:b w:val="0"/>
          <w:bCs w:val="0"/>
          <w:color w:val="auto"/>
          <w:highlight w:val="none"/>
          <w:lang w:eastAsia="zh-CN"/>
        </w:rPr>
        <w:t>（</w:t>
      </w:r>
      <w:r>
        <w:rPr>
          <w:rStyle w:val="22"/>
          <w:rFonts w:hint="eastAsia" w:asciiTheme="minorEastAsia" w:hAnsiTheme="minorEastAsia" w:eastAsiaTheme="minorEastAsia" w:cstheme="minorEastAsia"/>
          <w:b w:val="0"/>
          <w:bCs w:val="0"/>
          <w:color w:val="auto"/>
          <w:highlight w:val="none"/>
          <w:lang w:val="en-US" w:eastAsia="zh-CN"/>
        </w:rPr>
        <w:t>自然日</w:t>
      </w:r>
      <w:r>
        <w:rPr>
          <w:rStyle w:val="22"/>
          <w:rFonts w:hint="eastAsia" w:asciiTheme="minorEastAsia" w:hAnsiTheme="minorEastAsia" w:eastAsiaTheme="minorEastAsia" w:cstheme="minorEastAsia"/>
          <w:b w:val="0"/>
          <w:bCs w:val="0"/>
          <w:color w:val="auto"/>
          <w:highlight w:val="none"/>
          <w:lang w:eastAsia="zh-CN"/>
        </w:rPr>
        <w:t>）</w:t>
      </w:r>
      <w:r>
        <w:rPr>
          <w:rStyle w:val="22"/>
          <w:rFonts w:hint="eastAsia" w:asciiTheme="minorEastAsia" w:hAnsiTheme="minorEastAsia" w:eastAsiaTheme="minorEastAsia" w:cstheme="minorEastAsia"/>
          <w:b w:val="0"/>
          <w:bCs w:val="0"/>
          <w:color w:val="auto"/>
          <w:highlight w:val="none"/>
        </w:rPr>
        <w:t>内完成供货安装并调试完毕，具备</w:t>
      </w:r>
      <w:r>
        <w:rPr>
          <w:rStyle w:val="22"/>
          <w:rFonts w:hint="eastAsia" w:asciiTheme="minorEastAsia" w:hAnsiTheme="minorEastAsia" w:eastAsiaTheme="minorEastAsia" w:cstheme="minorEastAsia"/>
          <w:b w:val="0"/>
          <w:bCs w:val="0"/>
          <w:color w:val="auto"/>
          <w:highlight w:val="none"/>
          <w:lang w:val="en-US" w:eastAsia="zh-CN"/>
        </w:rPr>
        <w:t>试运行</w:t>
      </w:r>
      <w:r>
        <w:rPr>
          <w:rStyle w:val="22"/>
          <w:rFonts w:hint="eastAsia" w:asciiTheme="minorEastAsia" w:hAnsiTheme="minorEastAsia" w:eastAsiaTheme="minorEastAsia" w:cstheme="minorEastAsia"/>
          <w:b w:val="0"/>
          <w:bCs w:val="0"/>
          <w:color w:val="auto"/>
          <w:highlight w:val="none"/>
        </w:rPr>
        <w:t>条件</w:t>
      </w:r>
      <w:r>
        <w:rPr>
          <w:rFonts w:hint="eastAsia" w:asciiTheme="minorEastAsia" w:hAnsiTheme="minorEastAsia" w:eastAsiaTheme="minorEastAsia" w:cstheme="minorEastAsia"/>
          <w:b w:val="0"/>
          <w:bCs w:val="0"/>
          <w:color w:val="auto"/>
          <w:highlight w:val="none"/>
        </w:rPr>
        <w:t>。</w:t>
      </w:r>
    </w:p>
    <w:p>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2"/>
          <w:rFonts w:hint="eastAsia" w:asciiTheme="minorEastAsia" w:hAnsiTheme="minorEastAsia" w:eastAsiaTheme="minorEastAsia" w:cstheme="minorEastAsia"/>
          <w:b w:val="0"/>
          <w:bCs w:val="0"/>
          <w:color w:val="auto"/>
          <w:highlight w:val="none"/>
        </w:rPr>
      </w:pPr>
      <w:r>
        <w:rPr>
          <w:rStyle w:val="22"/>
          <w:rFonts w:hint="eastAsia" w:asciiTheme="minorEastAsia" w:hAnsiTheme="minorEastAsia" w:eastAsiaTheme="minorEastAsia" w:cstheme="minorEastAsia"/>
          <w:color w:val="auto"/>
          <w:highlight w:val="none"/>
        </w:rPr>
        <w:t>3、交货条件：</w:t>
      </w:r>
      <w:r>
        <w:rPr>
          <w:rStyle w:val="22"/>
          <w:rFonts w:hint="eastAsia" w:asciiTheme="minorEastAsia" w:hAnsiTheme="minorEastAsia" w:eastAsiaTheme="minorEastAsia" w:cstheme="minorEastAsia"/>
          <w:b w:val="0"/>
          <w:bCs w:val="0"/>
          <w:color w:val="auto"/>
          <w:highlight w:val="none"/>
          <w:lang w:val="en-US" w:eastAsia="zh-CN"/>
        </w:rPr>
        <w:t>初验</w:t>
      </w:r>
      <w:r>
        <w:rPr>
          <w:rStyle w:val="22"/>
          <w:rFonts w:hint="eastAsia" w:asciiTheme="minorEastAsia" w:hAnsiTheme="minorEastAsia" w:eastAsiaTheme="minorEastAsia" w:cstheme="minorEastAsia"/>
          <w:b w:val="0"/>
          <w:bCs w:val="0"/>
          <w:color w:val="auto"/>
          <w:highlight w:val="none"/>
        </w:rPr>
        <w:t>合格交付</w:t>
      </w:r>
      <w:r>
        <w:rPr>
          <w:rStyle w:val="22"/>
          <w:rFonts w:hint="eastAsia" w:asciiTheme="minorEastAsia" w:hAnsiTheme="minorEastAsia" w:eastAsiaTheme="minorEastAsia" w:cstheme="minorEastAsia"/>
          <w:b w:val="0"/>
          <w:bCs w:val="0"/>
          <w:color w:val="auto"/>
          <w:highlight w:val="none"/>
          <w:lang w:val="en-US" w:eastAsia="zh-CN"/>
        </w:rPr>
        <w:t>试运行</w:t>
      </w:r>
      <w:r>
        <w:rPr>
          <w:rStyle w:val="22"/>
          <w:rFonts w:hint="eastAsia" w:asciiTheme="minorEastAsia" w:hAnsiTheme="minorEastAsia" w:eastAsiaTheme="minorEastAsia" w:cstheme="minorEastAsia"/>
          <w:color w:val="auto"/>
          <w:highlight w:val="none"/>
        </w:rPr>
        <w:t>。</w:t>
      </w:r>
    </w:p>
    <w:p>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color w:val="auto"/>
          <w:szCs w:val="21"/>
          <w:highlight w:val="none"/>
          <w:lang w:val="en-US" w:eastAsia="zh-CN"/>
        </w:rPr>
      </w:pPr>
      <w:r>
        <w:rPr>
          <w:rStyle w:val="22"/>
          <w:rFonts w:hint="eastAsia" w:asciiTheme="minorEastAsia" w:hAnsiTheme="minorEastAsia" w:eastAsiaTheme="minorEastAsia" w:cstheme="minorEastAsia"/>
          <w:color w:val="auto"/>
          <w:highlight w:val="none"/>
        </w:rPr>
        <w:t>4、履约保证金</w:t>
      </w:r>
      <w:r>
        <w:rPr>
          <w:rStyle w:val="22"/>
          <w:rFonts w:hint="eastAsia" w:asciiTheme="minorEastAsia" w:hAnsiTheme="minorEastAsia" w:eastAsiaTheme="minorEastAsia" w:cstheme="minorEastAsia"/>
          <w:color w:val="auto"/>
          <w:highlight w:val="none"/>
          <w:lang w:val="en-US" w:eastAsia="zh-CN"/>
        </w:rPr>
        <w:t>:</w:t>
      </w:r>
    </w:p>
    <w:p>
      <w:pPr>
        <w:keepNext w:val="0"/>
        <w:keepLines w:val="0"/>
        <w:pageBreakBefore w:val="0"/>
        <w:kinsoku/>
        <w:overflowPunct/>
        <w:topLinePunct w:val="0"/>
        <w:bidi w:val="0"/>
        <w:adjustRightInd/>
        <w:snapToGrid/>
        <w:spacing w:beforeAutospacing="0" w:afterAutospacing="0" w:line="360" w:lineRule="auto"/>
        <w:ind w:firstLine="480" w:firstLineChars="200"/>
        <w:jc w:val="both"/>
        <w:textAlignment w:val="auto"/>
        <w:rPr>
          <w:rStyle w:val="22"/>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highlight w:val="none"/>
        </w:rPr>
        <w:t>履约保证金百分比：</w:t>
      </w:r>
      <w:r>
        <w:rPr>
          <w:rStyle w:val="22"/>
          <w:rFonts w:hint="eastAsia" w:asciiTheme="minorEastAsia" w:hAnsiTheme="minorEastAsia" w:eastAsiaTheme="minorEastAsia" w:cstheme="minorEastAsia"/>
          <w:b w:val="0"/>
          <w:bCs w:val="0"/>
          <w:color w:val="auto"/>
          <w:kern w:val="0"/>
          <w:sz w:val="24"/>
          <w:szCs w:val="24"/>
          <w:highlight w:val="none"/>
          <w:lang w:val="en-US" w:eastAsia="zh-CN" w:bidi="ar-SA"/>
        </w:rPr>
        <w:t>合同金额的5%。说明：乙方在签订合同前以银行转账或无条件银行保函的形式向甲方缴纳合同总金额5%作为履约保证金。履约保证金在5年售后维保期满后且乙方无违约的前提下10个工作日内无息退还。</w:t>
      </w:r>
    </w:p>
    <w:p>
      <w:pPr>
        <w:keepNext w:val="0"/>
        <w:keepLines w:val="0"/>
        <w:pageBreakBefore w:val="0"/>
        <w:numPr>
          <w:ilvl w:val="0"/>
          <w:numId w:val="0"/>
        </w:numPr>
        <w:kinsoku/>
        <w:wordWrap w:val="0"/>
        <w:overflowPunct/>
        <w:topLinePunct w:val="0"/>
        <w:autoSpaceDE w:val="0"/>
        <w:autoSpaceDN w:val="0"/>
        <w:bidi w:val="0"/>
        <w:adjustRightInd/>
        <w:snapToGrid/>
        <w:spacing w:beforeAutospacing="0" w:afterAutospacing="0" w:line="360" w:lineRule="auto"/>
        <w:jc w:val="both"/>
        <w:textAlignment w:val="auto"/>
        <w:rPr>
          <w:rStyle w:val="22"/>
          <w:rFonts w:hint="eastAsia" w:asciiTheme="minorEastAsia" w:hAnsiTheme="minorEastAsia" w:eastAsiaTheme="minorEastAsia" w:cstheme="minorEastAsia"/>
          <w:b w:val="0"/>
          <w:bCs w:val="0"/>
          <w:color w:val="auto"/>
          <w:kern w:val="0"/>
          <w:sz w:val="24"/>
          <w:highlight w:val="none"/>
        </w:rPr>
      </w:pPr>
      <w:r>
        <w:rPr>
          <w:rStyle w:val="22"/>
          <w:rFonts w:hint="eastAsia" w:asciiTheme="minorEastAsia" w:hAnsiTheme="minorEastAsia" w:eastAsiaTheme="minorEastAsia" w:cstheme="minorEastAsia"/>
          <w:color w:val="auto"/>
          <w:kern w:val="0"/>
          <w:sz w:val="24"/>
          <w:highlight w:val="none"/>
          <w:lang w:val="en-US" w:eastAsia="zh-CN"/>
        </w:rPr>
        <w:t>5、</w:t>
      </w:r>
      <w:r>
        <w:rPr>
          <w:rStyle w:val="22"/>
          <w:rFonts w:hint="eastAsia" w:asciiTheme="minorEastAsia" w:hAnsiTheme="minorEastAsia" w:eastAsiaTheme="minorEastAsia" w:cstheme="minorEastAsia"/>
          <w:color w:val="auto"/>
          <w:kern w:val="0"/>
          <w:sz w:val="24"/>
          <w:highlight w:val="none"/>
        </w:rPr>
        <w:t>合同支付方式</w:t>
      </w:r>
      <w:r>
        <w:rPr>
          <w:rStyle w:val="22"/>
          <w:rFonts w:hint="eastAsia" w:asciiTheme="minorEastAsia" w:hAnsiTheme="minorEastAsia" w:eastAsiaTheme="minorEastAsia" w:cstheme="minorEastAsia"/>
          <w:color w:val="auto"/>
          <w:kern w:val="0"/>
          <w:sz w:val="24"/>
          <w:highlight w:val="none"/>
          <w:lang w:eastAsia="zh-CN"/>
        </w:rPr>
        <w:t>：</w:t>
      </w:r>
      <w:r>
        <w:rPr>
          <w:rStyle w:val="22"/>
          <w:rFonts w:hint="eastAsia" w:asciiTheme="minorEastAsia" w:hAnsiTheme="minorEastAsia" w:eastAsiaTheme="minorEastAsia" w:cstheme="minorEastAsia"/>
          <w:b w:val="0"/>
          <w:bCs w:val="0"/>
          <w:color w:val="auto"/>
          <w:kern w:val="0"/>
          <w:sz w:val="24"/>
          <w:highlight w:val="none"/>
          <w:lang w:eastAsia="zh-CN"/>
        </w:rPr>
        <w:t>货物安装、调试、验收合格后，乙方提交</w:t>
      </w:r>
      <w:r>
        <w:rPr>
          <w:rStyle w:val="22"/>
          <w:rFonts w:hint="eastAsia" w:asciiTheme="minorEastAsia" w:hAnsiTheme="minorEastAsia" w:eastAsiaTheme="minorEastAsia" w:cstheme="minorEastAsia"/>
          <w:b w:val="0"/>
          <w:bCs w:val="0"/>
          <w:color w:val="auto"/>
          <w:kern w:val="0"/>
          <w:sz w:val="24"/>
          <w:highlight w:val="none"/>
          <w:lang w:val="en-US" w:eastAsia="zh-CN"/>
        </w:rPr>
        <w:t>增值税专用发票</w:t>
      </w:r>
      <w:r>
        <w:rPr>
          <w:rStyle w:val="22"/>
          <w:rFonts w:hint="eastAsia" w:asciiTheme="minorEastAsia" w:hAnsiTheme="minorEastAsia" w:eastAsiaTheme="minorEastAsia" w:cstheme="minorEastAsia"/>
          <w:b w:val="0"/>
          <w:bCs w:val="0"/>
          <w:color w:val="auto"/>
          <w:kern w:val="0"/>
          <w:sz w:val="24"/>
          <w:highlight w:val="none"/>
          <w:lang w:eastAsia="zh-CN"/>
        </w:rPr>
        <w:t>等请款材料，达到付款条件起10日内，</w:t>
      </w:r>
      <w:r>
        <w:rPr>
          <w:rStyle w:val="22"/>
          <w:rFonts w:hint="eastAsia" w:asciiTheme="minorEastAsia" w:hAnsiTheme="minorEastAsia" w:eastAsiaTheme="minorEastAsia" w:cstheme="minorEastAsia"/>
          <w:b w:val="0"/>
          <w:bCs w:val="0"/>
          <w:color w:val="auto"/>
          <w:kern w:val="0"/>
          <w:sz w:val="24"/>
          <w:highlight w:val="none"/>
          <w:lang w:val="en-US" w:eastAsia="zh-CN"/>
        </w:rPr>
        <w:t>甲方</w:t>
      </w:r>
      <w:r>
        <w:rPr>
          <w:rStyle w:val="22"/>
          <w:rFonts w:hint="eastAsia" w:asciiTheme="minorEastAsia" w:hAnsiTheme="minorEastAsia" w:eastAsiaTheme="minorEastAsia" w:cstheme="minorEastAsia"/>
          <w:b w:val="0"/>
          <w:bCs w:val="0"/>
          <w:color w:val="auto"/>
          <w:kern w:val="0"/>
          <w:sz w:val="24"/>
          <w:highlight w:val="none"/>
          <w:lang w:eastAsia="zh-CN"/>
        </w:rPr>
        <w:t>支付合同总金额的100%</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乙方提供的报价总价</w:t>
      </w:r>
      <w:r>
        <w:rPr>
          <w:rFonts w:hint="eastAsia" w:asciiTheme="minorEastAsia" w:hAnsiTheme="minorEastAsia" w:eastAsiaTheme="minorEastAsia" w:cstheme="minorEastAsia"/>
          <w:color w:val="auto"/>
          <w:sz w:val="24"/>
          <w:szCs w:val="24"/>
          <w:highlight w:val="none"/>
        </w:rPr>
        <w:t>须包含但不限于所需人工、设备、施工机械（器械）使用费、生产费、运输费、设备运输吊装费、安全措施费（包括但不限于高空费）、安装费、安装辅助材料费（包括但不限于打孔、铜管、支架、排水管、空开、电源线等辅助材料所有费用）、开路埋管施工费、配套器件费、因安装工作不连续而造成的窝工费、调试费、培训费、售后保修服务费、税金及合同明示或暗示的风险责任和义务等一切与本项目相关的所有费用，</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不再支付其他费用。</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运输和包装要求</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（1）包装：货物交货时应按国家有关标准要求进行包装。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（2）包装必须与运输方式相适应，包装方式的确定及包装费用均由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负责；由于不适当的包装而造成货物在运输过程中有任何损坏由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（3）包装应足以承受整个过程中的运输、转运、装卸、储存等，充分考虑到运输途中的各种情况（如暴露于恶劣气候等）和项目所在地的气候特点，以及露天存放的需要。</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（4）货物安装所需的配件或附加件，在合同签订前由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提交具体清单给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确认。专用工具及备品备件应分别包装，并在包装箱外加以注明其用处。</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负责将所有货物送至</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地点并安装调试。</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安装及安全问题</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（1）负责安装：每个安装位置必须按</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指定的位置，安装时不得破坏原有结构和外观（安装空调时与</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协商确须打洞</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情形除外）。</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在供货时应根据现场实际情况增长排水管、铜管、室内外机电源线、通讯线等安装的辅材及其安装需要的辅助服务（拆除修复防盗网、打孔、高层搬运和高空作业等）相关费用均包含在响应文件报价中，由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不再另行支付相关费用，同时增加的材料质量须不低于制造商原装的材料质量。安装施工过程不能影响</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的正常作息并及时清理现场卫生。</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安装结束后应在规定的交付使用时间之前将废物移离现场至指定位置，清理妥当，费用已含在成交价内。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（2）安全要求：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全权负责保修期内非</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人为因素引起的设备本身及安装产生的安全问题，若出现任何安全事故，由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自行负责，给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造成的损失，由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负责赔偿。</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负责组织专业技术人员进行货物安装。</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作业期间，应遵守法律法规、遵守</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规章制度，人员须统一着公司服装、挂牌上岗、态度良好，不得有与</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工作人员发生肢体冲突、谩骂</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工作人员等不良行为。</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向</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提供安装和维护所需特殊专用的工具、备件及清单和中文说明书，其费用包括在投标价格内。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应在空调上粘贴</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专属标签，标签上应有服务热线电话号码。</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项目为交钥匙工程，上述采购货物数量、技术参数及要求已包含并不限于人工、材料设备、机械使用、包含可能存在的开槽，墙面恢复等所有费用，清单里未列明但因项目建设需要的其他主材、辅材等材料设备及相关配套费用由乙方自行承担；项目实施过程中，实际安装情况以甲方要求的为准。</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验收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Hans"/>
        </w:rPr>
        <w:t>所有货物按厂家产品验收标准(符合国家或行业或地方标准)、</w:t>
      </w:r>
      <w:r>
        <w:rPr>
          <w:rFonts w:hint="eastAsia" w:asciiTheme="minorEastAsia" w:hAnsiTheme="minorEastAsia" w:eastAsiaTheme="minorEastAsia" w:cstheme="minorEastAsia"/>
          <w:color w:val="auto"/>
          <w:kern w:val="0"/>
          <w:sz w:val="24"/>
          <w:szCs w:val="24"/>
          <w:highlight w:val="none"/>
          <w:lang w:val="en-US" w:eastAsia="zh-CN"/>
        </w:rPr>
        <w:t>竞价文件</w:t>
      </w:r>
      <w:r>
        <w:rPr>
          <w:rFonts w:hint="eastAsia" w:asciiTheme="minorEastAsia" w:hAnsiTheme="minorEastAsia" w:eastAsiaTheme="minorEastAsia" w:cstheme="minorEastAsia"/>
          <w:color w:val="auto"/>
          <w:kern w:val="0"/>
          <w:sz w:val="24"/>
          <w:szCs w:val="24"/>
          <w:highlight w:val="none"/>
          <w:lang w:val="en-US" w:eastAsia="zh-Hans"/>
        </w:rPr>
        <w:t>、响应文件等有关部分内容进行验收，</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lang w:val="en-US" w:eastAsia="zh-Hans"/>
        </w:rPr>
        <w:t>有可能做破坏性实验以检查材料是否符合</w:t>
      </w:r>
      <w:r>
        <w:rPr>
          <w:rFonts w:hint="eastAsia" w:asciiTheme="minorEastAsia" w:hAnsiTheme="minorEastAsia" w:eastAsiaTheme="minorEastAsia" w:cstheme="minorEastAsia"/>
          <w:color w:val="auto"/>
          <w:kern w:val="0"/>
          <w:sz w:val="24"/>
          <w:szCs w:val="24"/>
          <w:highlight w:val="none"/>
          <w:lang w:val="en-US" w:eastAsia="zh-CN"/>
        </w:rPr>
        <w:t>竞价文件</w:t>
      </w:r>
      <w:r>
        <w:rPr>
          <w:rFonts w:hint="eastAsia" w:asciiTheme="minorEastAsia" w:hAnsiTheme="minorEastAsia" w:eastAsiaTheme="minorEastAsia" w:cstheme="minorEastAsia"/>
          <w:color w:val="auto"/>
          <w:kern w:val="0"/>
          <w:sz w:val="24"/>
          <w:szCs w:val="24"/>
          <w:highlight w:val="none"/>
          <w:lang w:val="en-US" w:eastAsia="zh-Hans"/>
        </w:rPr>
        <w:t>要求。</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lang w:val="en-US" w:eastAsia="zh-Hans"/>
        </w:rPr>
        <w:t>有权抽检，将随机抽选部分</w:t>
      </w:r>
      <w:r>
        <w:rPr>
          <w:rFonts w:hint="eastAsia" w:asciiTheme="minorEastAsia" w:hAnsiTheme="minorEastAsia" w:eastAsia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Hans"/>
        </w:rPr>
        <w:t>产品委托有检测</w:t>
      </w:r>
      <w:r>
        <w:rPr>
          <w:rFonts w:hint="eastAsia" w:asciiTheme="minorEastAsia" w:hAnsiTheme="minorEastAsia" w:eastAsiaTheme="minorEastAsia" w:cstheme="minorEastAsia"/>
          <w:color w:val="auto"/>
          <w:kern w:val="0"/>
          <w:sz w:val="24"/>
          <w:szCs w:val="24"/>
          <w:highlight w:val="none"/>
          <w:lang w:val="en-US" w:eastAsia="zh-CN"/>
        </w:rPr>
        <w:t>或检验或试验</w:t>
      </w:r>
      <w:r>
        <w:rPr>
          <w:rFonts w:hint="eastAsia" w:asciiTheme="minorEastAsia" w:hAnsiTheme="minorEastAsia" w:eastAsiaTheme="minorEastAsia" w:cstheme="minorEastAsia"/>
          <w:color w:val="auto"/>
          <w:kern w:val="0"/>
          <w:sz w:val="24"/>
          <w:szCs w:val="24"/>
          <w:highlight w:val="none"/>
          <w:lang w:val="en-US" w:eastAsia="zh-Hans"/>
        </w:rPr>
        <w:t>资质的第三方机构进行</w:t>
      </w:r>
      <w:r>
        <w:rPr>
          <w:rFonts w:hint="eastAsia" w:asciiTheme="minorEastAsia" w:hAnsiTheme="minorEastAsia" w:eastAsiaTheme="minorEastAsia" w:cstheme="minorEastAsia"/>
          <w:color w:val="auto"/>
          <w:kern w:val="0"/>
          <w:sz w:val="24"/>
          <w:szCs w:val="24"/>
          <w:highlight w:val="none"/>
          <w:lang w:val="en-US" w:eastAsia="zh-CN"/>
        </w:rPr>
        <w:t>检测、</w:t>
      </w:r>
      <w:r>
        <w:rPr>
          <w:rFonts w:hint="eastAsia" w:asciiTheme="minorEastAsia" w:hAnsiTheme="minorEastAsia" w:eastAsiaTheme="minorEastAsia" w:cstheme="minorEastAsia"/>
          <w:color w:val="auto"/>
          <w:kern w:val="0"/>
          <w:sz w:val="24"/>
          <w:szCs w:val="24"/>
          <w:highlight w:val="none"/>
          <w:lang w:val="en-US" w:eastAsia="zh-Hans"/>
        </w:rPr>
        <w:t>检验</w:t>
      </w:r>
      <w:r>
        <w:rPr>
          <w:rFonts w:hint="eastAsia" w:asciiTheme="minorEastAsia" w:hAnsiTheme="minorEastAsia" w:eastAsiaTheme="minorEastAsia" w:cstheme="minorEastAsia"/>
          <w:color w:val="auto"/>
          <w:kern w:val="0"/>
          <w:sz w:val="24"/>
          <w:szCs w:val="24"/>
          <w:highlight w:val="none"/>
          <w:lang w:val="en-US" w:eastAsia="zh-CN"/>
        </w:rPr>
        <w:t>或试验</w:t>
      </w:r>
      <w:r>
        <w:rPr>
          <w:rFonts w:hint="eastAsia" w:asciiTheme="minorEastAsia" w:hAnsiTheme="minorEastAsia" w:eastAsiaTheme="minorEastAsia" w:cstheme="minorEastAsia"/>
          <w:color w:val="auto"/>
          <w:kern w:val="0"/>
          <w:sz w:val="24"/>
          <w:szCs w:val="24"/>
          <w:highlight w:val="none"/>
          <w:lang w:val="en-US" w:eastAsia="zh-Hans"/>
        </w:rPr>
        <w:t>。抽检不合格的，</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lang w:val="en-US" w:eastAsia="zh-Hans"/>
        </w:rPr>
        <w:t>有权拒收</w:t>
      </w:r>
      <w:r>
        <w:rPr>
          <w:rFonts w:hint="eastAsia" w:asciiTheme="minorEastAsia" w:hAnsiTheme="minorEastAsia" w:eastAsiaTheme="minorEastAsia" w:cstheme="minorEastAsia"/>
          <w:color w:val="auto"/>
          <w:kern w:val="0"/>
          <w:sz w:val="24"/>
          <w:szCs w:val="24"/>
          <w:highlight w:val="none"/>
          <w:lang w:val="en-US" w:eastAsia="zh-CN"/>
        </w:rPr>
        <w:t>全部货物</w:t>
      </w:r>
      <w:r>
        <w:rPr>
          <w:rFonts w:hint="eastAsia" w:asciiTheme="minorEastAsia" w:hAnsiTheme="minorEastAsia" w:eastAsiaTheme="minorEastAsia" w:cstheme="minorEastAsia"/>
          <w:color w:val="auto"/>
          <w:kern w:val="0"/>
          <w:sz w:val="24"/>
          <w:szCs w:val="24"/>
          <w:highlight w:val="none"/>
          <w:lang w:val="en-US" w:eastAsia="zh-Hans"/>
        </w:rPr>
        <w:t>，并终止合同，没收履约保证金，造成</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lang w:val="en-US" w:eastAsia="zh-Hans"/>
        </w:rPr>
        <w:t>经济损失的，</w:t>
      </w:r>
      <w:r>
        <w:rPr>
          <w:rFonts w:hint="eastAsia" w:asciiTheme="minorEastAsia" w:hAnsiTheme="minorEastAsia" w:eastAsiaTheme="minorEastAsia" w:cstheme="minorEastAsia"/>
          <w:color w:val="auto"/>
          <w:kern w:val="0"/>
          <w:sz w:val="24"/>
          <w:szCs w:val="24"/>
          <w:highlight w:val="none"/>
          <w:lang w:val="en-US" w:eastAsia="zh-CN"/>
        </w:rPr>
        <w:t>乙方</w:t>
      </w:r>
      <w:r>
        <w:rPr>
          <w:rFonts w:hint="eastAsia" w:asciiTheme="minorEastAsia" w:hAnsiTheme="minorEastAsia" w:eastAsiaTheme="minorEastAsia" w:cstheme="minorEastAsia"/>
          <w:color w:val="auto"/>
          <w:kern w:val="0"/>
          <w:sz w:val="24"/>
          <w:szCs w:val="24"/>
          <w:highlight w:val="none"/>
          <w:lang w:val="en-US" w:eastAsia="zh-Hans"/>
        </w:rPr>
        <w:t>应予赔偿。抽检所产生的检测</w:t>
      </w:r>
      <w:r>
        <w:rPr>
          <w:rFonts w:hint="eastAsia" w:asciiTheme="minorEastAsia" w:hAnsiTheme="minorEastAsia" w:eastAsiaTheme="minorEastAsia" w:cstheme="minorEastAsia"/>
          <w:color w:val="auto"/>
          <w:kern w:val="0"/>
          <w:sz w:val="24"/>
          <w:szCs w:val="24"/>
          <w:highlight w:val="none"/>
          <w:lang w:val="en-US" w:eastAsia="zh-CN"/>
        </w:rPr>
        <w:t>、检验或试验</w:t>
      </w:r>
      <w:r>
        <w:rPr>
          <w:rFonts w:hint="eastAsia" w:asciiTheme="minorEastAsia" w:hAnsiTheme="minorEastAsia" w:eastAsiaTheme="minorEastAsia" w:cstheme="minorEastAsia"/>
          <w:color w:val="auto"/>
          <w:kern w:val="0"/>
          <w:sz w:val="24"/>
          <w:szCs w:val="24"/>
          <w:highlight w:val="none"/>
          <w:lang w:val="en-US" w:eastAsia="zh-Hans"/>
        </w:rPr>
        <w:t>费用等由</w:t>
      </w:r>
      <w:r>
        <w:rPr>
          <w:rFonts w:hint="eastAsia" w:asciiTheme="minorEastAsia" w:hAnsiTheme="minorEastAsia" w:eastAsiaTheme="minorEastAsia" w:cstheme="minorEastAsia"/>
          <w:color w:val="auto"/>
          <w:kern w:val="0"/>
          <w:sz w:val="24"/>
          <w:szCs w:val="24"/>
          <w:highlight w:val="none"/>
          <w:lang w:val="en-US" w:eastAsia="zh-CN"/>
        </w:rPr>
        <w:t>乙方</w:t>
      </w:r>
      <w:r>
        <w:rPr>
          <w:rFonts w:hint="eastAsia" w:asciiTheme="minorEastAsia" w:hAnsiTheme="minorEastAsia" w:eastAsiaTheme="minorEastAsia" w:cstheme="minorEastAsia"/>
          <w:color w:val="auto"/>
          <w:kern w:val="0"/>
          <w:sz w:val="24"/>
          <w:szCs w:val="24"/>
          <w:highlight w:val="none"/>
          <w:lang w:val="en-US" w:eastAsia="zh-Hans"/>
        </w:rPr>
        <w:t>承担。</w:t>
      </w:r>
      <w:r>
        <w:rPr>
          <w:rFonts w:hint="eastAsia" w:asciiTheme="minorEastAsia" w:hAnsiTheme="minorEastAsia" w:eastAsiaTheme="minorEastAsia" w:cstheme="minorEastAsia"/>
          <w:color w:val="auto"/>
          <w:kern w:val="0"/>
          <w:sz w:val="24"/>
          <w:szCs w:val="24"/>
          <w:highlight w:val="none"/>
          <w:lang w:val="zh-CN" w:eastAsia="zh-CN"/>
        </w:rPr>
        <w:t>对于乙方已安装部分，甲方有权要求乙方限期拆除，逾期拆除的甲方有权自行或聘请他人拆除，相关费用全部由乙方承担。</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验收程序和方法:</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（1）货物验收前，</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须提供完整的技术资料(包括产品中文说明书、中文</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手册、出厂明细表或装箱单、制造厂质量合格证书及其他相关文件资料)。所供空调应提供产品合格证（符合国家相关行业质量标准规格），应为全新原装未启封的(未经使用和非展览会展示样品设备，外观无刮、碰痕迹，并有下列明显标记：名称、品牌型号、制造商标识、产地、出厂日期、出产序列号等)，不得使用二手设备（包括翻新机）。</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（2）初验收：货物送至</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安装现场后，由</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及</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双方共同对货物的数量、基本质量、外包装等逐项检验。</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（3）最终验收：初验合格且设备安装完毕后，设备进行为期30天的试运行。试运行结束后符合要求的，最终验收通过；不合格的，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必须无条件更换货物，并重新调试运行；重新调试运行时限为30天，期满仍未能符合要求通过验收的，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有权终止合同，将相关设备全部做退货处理，并要求成交</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支付合同金额30%的违约金。退货产生的费用等均由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（4）验收结果经双方签字确认。如发现设备与合同规定不符，</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有权拒绝接受并向</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提出索赔。如货物在售后期内被证明存在缺陷，包括潜在的缺陷或使用不合适的材料，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有权向</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提出索赔。</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售后服务</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（1）整机保修</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年，自验收合格后起计算。提供全面的售后服务，包含且不仅限于空调机、加氨等。售后期内，须按合同条款提供售后服务，非因</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操作不当造成要更换的零配件及产品由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负责包修、包换。</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在售后期内须提供上门维修服务，产品使用发生故障时</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在接到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故障通知后2小时内响应，并在24小时内到达现场，负责修理或更换有缺陷的零部件或产品，对造成的损失按合同规定赔偿及负责违约责任。在售后期内出现产品质量问题(同一故障发生二次)，</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则有权要求更换产品，更换的售后期从更换之日起相应顺延。如在一个月内同一台机子出现故障达两次，</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天内更换同品牌、同型号规格空调新机（若因不再生产，则可用主要参数更优的其他型号规格产品替代，但须报经</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同意），此产生的一切费用均由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在保修期内应承担设备自身运行中保养、维护、所需的配件及故障维修等所产生的一切费用。</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宋体" w:hAnsi="宋体" w:cs="宋体"/>
          <w:b/>
          <w:bCs/>
          <w:color w:val="auto"/>
          <w:sz w:val="24"/>
          <w:highlight w:val="none"/>
        </w:rPr>
        <w:t>专利权及知识产权</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提供的货物应符合国家知识产权法律、法规的规定且非假冒伪劣品；</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还应保证</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不受到第三方关于侵犯知识产权及专利权、商标权或工业设计权等知识产权方面的指控，若任何第三方提出此方面指控均与</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无关，</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应与第三方交涉，并承担可能发生的一切法律责任、费用和后果；若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因此而遭致损失，则</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应赔偿</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全部损失。</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（2）若</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提供的采购标的不符合国家知识产权法律、法规的规定或被有关主管机关认定为假冒伪劣品，则</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成交资格将被取消；</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还将按照有关法律、法规和规章的规定进行处理。</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违约责任</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不得将项目转包或分包他人，否则视为违约，</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有权单方终止合同，并没收履约保证金，要求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支付合同金额20%的违约金。</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（2）未经</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同意</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单方解除合同，或拒绝供货的，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有权没收全额履约保证金，要求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支付合同金额20%的违约金；对</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造成损失的，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还应给予相应赔偿。</w:t>
      </w:r>
    </w:p>
    <w:p>
      <w:pPr>
        <w:pStyle w:val="2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（3）因产品质量问题造成</w:t>
      </w:r>
      <w:r>
        <w:rPr>
          <w:rFonts w:hint="eastAsia" w:asciiTheme="minorEastAsia" w:hAnsiTheme="minorEastAsia" w:eastAsiaTheme="minorEastAsia" w:cstheme="minorEastAsia"/>
          <w:b/>
          <w:bCs/>
          <w:color w:val="auto"/>
          <w:sz w:val="24"/>
          <w:szCs w:val="24"/>
          <w:highlight w:val="none"/>
          <w:lang w:eastAsia="zh-CN"/>
        </w:rPr>
        <w:t>甲方</w:t>
      </w:r>
      <w:r>
        <w:rPr>
          <w:rFonts w:hint="eastAsia" w:asciiTheme="minorEastAsia" w:hAnsiTheme="minorEastAsia" w:eastAsiaTheme="minorEastAsia" w:cstheme="minorEastAsia"/>
          <w:b/>
          <w:bCs/>
          <w:color w:val="auto"/>
          <w:sz w:val="24"/>
          <w:szCs w:val="24"/>
          <w:highlight w:val="none"/>
        </w:rPr>
        <w:t>或任何第三方损害的，</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应承担一切损害赔偿、法律责任。</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所供货物品牌、规格、型号、性能等技术质量参数不符合</w:t>
      </w:r>
      <w:r>
        <w:rPr>
          <w:rFonts w:hint="eastAsia" w:asciiTheme="minorEastAsia" w:hAnsiTheme="minorEastAsia" w:eastAsiaTheme="minorEastAsia" w:cstheme="minorEastAsia"/>
          <w:b/>
          <w:bCs/>
          <w:color w:val="auto"/>
          <w:sz w:val="24"/>
          <w:szCs w:val="24"/>
          <w:highlight w:val="none"/>
          <w:lang w:val="en-US" w:eastAsia="zh-CN"/>
        </w:rPr>
        <w:t>竞价文件</w:t>
      </w:r>
      <w:r>
        <w:rPr>
          <w:rFonts w:hint="eastAsia" w:asciiTheme="minorEastAsia" w:hAnsiTheme="minorEastAsia" w:eastAsiaTheme="minorEastAsia" w:cstheme="minorEastAsia"/>
          <w:b/>
          <w:bCs/>
          <w:color w:val="auto"/>
          <w:sz w:val="24"/>
          <w:szCs w:val="24"/>
          <w:highlight w:val="none"/>
        </w:rPr>
        <w:t>要求及投标响应的，</w:t>
      </w:r>
      <w:r>
        <w:rPr>
          <w:rFonts w:hint="eastAsia" w:asciiTheme="minorEastAsia" w:hAnsiTheme="minorEastAsia" w:eastAsiaTheme="minorEastAsia" w:cstheme="minorEastAsia"/>
          <w:b/>
          <w:bCs/>
          <w:color w:val="auto"/>
          <w:sz w:val="24"/>
          <w:szCs w:val="24"/>
          <w:highlight w:val="none"/>
          <w:lang w:eastAsia="zh-CN"/>
        </w:rPr>
        <w:t>甲方</w:t>
      </w:r>
      <w:r>
        <w:rPr>
          <w:rFonts w:hint="eastAsia" w:asciiTheme="minorEastAsia" w:hAnsiTheme="minorEastAsia" w:eastAsiaTheme="minorEastAsia" w:cstheme="minorEastAsia"/>
          <w:b/>
          <w:bCs/>
          <w:color w:val="auto"/>
          <w:sz w:val="24"/>
          <w:szCs w:val="24"/>
          <w:highlight w:val="none"/>
        </w:rPr>
        <w:t>有权拒收，并终止合同，没收履约保证金，造成</w:t>
      </w:r>
      <w:r>
        <w:rPr>
          <w:rFonts w:hint="eastAsia" w:asciiTheme="minorEastAsia" w:hAnsiTheme="minorEastAsia" w:eastAsiaTheme="minorEastAsia" w:cstheme="minorEastAsia"/>
          <w:b/>
          <w:bCs/>
          <w:color w:val="auto"/>
          <w:sz w:val="24"/>
          <w:szCs w:val="24"/>
          <w:highlight w:val="none"/>
          <w:lang w:eastAsia="zh-CN"/>
        </w:rPr>
        <w:t>甲方</w:t>
      </w:r>
      <w:r>
        <w:rPr>
          <w:rFonts w:hint="eastAsia" w:asciiTheme="minorEastAsia" w:hAnsiTheme="minorEastAsia" w:eastAsiaTheme="minorEastAsia" w:cstheme="minorEastAsia"/>
          <w:b/>
          <w:bCs/>
          <w:color w:val="auto"/>
          <w:sz w:val="24"/>
          <w:szCs w:val="24"/>
          <w:highlight w:val="none"/>
        </w:rPr>
        <w:t>经济损失的，</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应予赔偿。</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不能按合同约定时限供货并完成安装调试的，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应按日支付给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合同金额0.5%的违约金；逾期超过10日的，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除了有权要求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按日支付合同金额0.5%的违约金外，还有权拒收，并终止合同，没收履约保证金, 造成</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经济损失的，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应予赔偿。对于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已安装部分，</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限期拆除，逾期拆除的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有权自行或聘请他人拆除，相关费用全部由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不能按合同数量交付并完成安装调试的，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限期补足，补货期间</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应按缺货对应金额支付给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1倍的违约金；逾期补货超过10日的，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除了按缺货对应金额支付给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1倍的违约金外，</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有权拒收，并终止合同，没收履约保证金，造成</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经济损失的，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应予赔偿。终止合同的，对于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已安装部分，</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限期拆除，逾期拆除的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有权自行或聘请他人拆除，相关费用全部由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依约采取拒收货物或者退、换货等措施的，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承担因此发生的一切损失费用，包括但不限于运输和保险费、检验费、仓储和装卸费以及为保管和保护被拒绝货物所需要的其它必要费用。</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除存在本条款第1项、第2项情形并承担相应责任外，</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未履行或未完全履行本</w:t>
      </w:r>
      <w:r>
        <w:rPr>
          <w:rFonts w:hint="eastAsia" w:asciiTheme="minorEastAsia" w:hAnsiTheme="minorEastAsia" w:eastAsiaTheme="minorEastAsia" w:cstheme="minorEastAsia"/>
          <w:color w:val="auto"/>
          <w:sz w:val="24"/>
          <w:szCs w:val="24"/>
          <w:highlight w:val="none"/>
          <w:lang w:eastAsia="zh-CN"/>
        </w:rPr>
        <w:t>竞价文件</w:t>
      </w:r>
      <w:r>
        <w:rPr>
          <w:rFonts w:hint="eastAsia" w:asciiTheme="minorEastAsia" w:hAnsiTheme="minorEastAsia" w:eastAsiaTheme="minorEastAsia" w:cstheme="minorEastAsia"/>
          <w:color w:val="auto"/>
          <w:sz w:val="24"/>
          <w:szCs w:val="24"/>
          <w:highlight w:val="none"/>
        </w:rPr>
        <w:t>其他要求或</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竞价</w:t>
      </w:r>
      <w:r>
        <w:rPr>
          <w:rFonts w:hint="eastAsia" w:asciiTheme="minorEastAsia" w:hAnsiTheme="minorEastAsia" w:eastAsiaTheme="minorEastAsia" w:cstheme="minorEastAsia"/>
          <w:color w:val="auto"/>
          <w:sz w:val="24"/>
          <w:szCs w:val="24"/>
          <w:highlight w:val="none"/>
        </w:rPr>
        <w:t>响应的，每违约一次应向</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支付违约金3000元，若因此给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造成损失的，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还应赔偿</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所受的损失；累计超过三次的，扣除全部履约保证金。</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（8）在合作期间，</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必须遵守</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的各项规章制度，如有进出监区的必须提供合法证件，</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运送物资进入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所在监区的车辆、人员不得私自离开指定的区域，不得与犯人及犯人家属有违反监狱规定的接触，不传递物品及信息如：手机、毒品、酒类、黄色书刊及图片、刀具、绳索、打火机、有价证券、信用卡、数码产品等一切物品，一旦发现有上述违规行为，</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有权终止合同并没收履约保证金；若触犯法律移送司法机关处理。</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不得给予</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工作人员或其他相关人员任何形式不正当利益，在招投标、合同履行过程中，发现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以违规方式成交的，或</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有行贿等违法行为，一经发现的,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将终止合同并没收履约保证金。</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要认真遵守国家保密法律、法规和</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相关规章制度，履行保密、保守义务；其进入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工作区域的工作人员需签订《保密承诺书》，严格履行保密义务，所获得的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所有信息（包括并不限于工作信息）应严格保守，未经甲方允许不得违规记录、存储、复制国家秘密信息，不以任何方式泄露所接触和知悉的国家秘密和</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相关信息，严禁将</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工作文件等内部资料泄露出去，</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存在的前述违约行为（包括故意或过失）或因前述违约行为（包括故意或过失）造成</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相关后果等实际情况，除了有权要求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承担相应法律责任外，还有权要求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偿付合同货款</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0%的违约金；造成</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损失的，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还应予以赔偿。本条款不因合同届满或解除而失效。</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（11）除本项目有其他明确约定外，</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不得以设备停产、产品升级等任何理由要求变更所投报的设备品牌及型号，否则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有权终止合同，没收履约保证金，并要求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支付给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本项目成交金额20%的违约金。</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（12）对</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应支付的违约金，</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有权从未付的货款中扣抵，不足扣抵的，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通过法律等其他途径主张权利。</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（13）上述违约责任内容与本项目中其他约定有冲突的，违约责任按就高不就低原则处理。</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不可抗力</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不可抗力造成违约的，遭受不可抗力一方应及时向对方通报不能履行或不能完全履行的理由，并向另一方提供不可抗力发生以及持续期间的充分证据。基于以上行为，允许遭受不可抗力一方延期履行、部分履行或者不履行合同，并根据情况可部分或全部免于承担违约责任。</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（2）不可抗力指不能预见、不能避免并不能克服的客观情况。包括但不限于：自然灾害如地震、台风、洪水、火灾；政府行为、法律规定或其适用的变化或者其他任何无法预见、避免或者控制的事件。</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14、合同纠纷处理方式</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双方必须认真履行合同条款。因合同或与合同有关的一切事项发生争议，由双方友好协商解决，协商不成的，任何一方均可向</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所在地的龙岩仲裁委员会申请仲裁。</w:t>
      </w:r>
    </w:p>
    <w:p>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15、</w:t>
      </w:r>
      <w:r>
        <w:rPr>
          <w:rFonts w:hint="eastAsia" w:asciiTheme="minorEastAsia" w:hAnsiTheme="minorEastAsia" w:eastAsiaTheme="minorEastAsia" w:cstheme="minorEastAsia"/>
          <w:b/>
          <w:bCs/>
          <w:color w:val="auto"/>
          <w:sz w:val="24"/>
          <w:szCs w:val="24"/>
          <w:highlight w:val="none"/>
        </w:rPr>
        <w:t>其他事项</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en-US" w:eastAsia="zh-CN"/>
        </w:rPr>
        <w:t>（1）</w:t>
      </w:r>
      <w:r>
        <w:rPr>
          <w:rFonts w:hint="eastAsia" w:asciiTheme="minorEastAsia" w:hAnsiTheme="minorEastAsia" w:eastAsiaTheme="minorEastAsia" w:cstheme="minorEastAsia"/>
          <w:bCs/>
          <w:color w:val="auto"/>
          <w:kern w:val="2"/>
          <w:sz w:val="24"/>
          <w:szCs w:val="24"/>
          <w:highlight w:val="none"/>
          <w:lang w:val="zh-CN" w:eastAsia="zh-CN"/>
        </w:rPr>
        <w:t>除</w:t>
      </w:r>
      <w:r>
        <w:rPr>
          <w:rFonts w:hint="eastAsia" w:asciiTheme="minorEastAsia" w:hAnsiTheme="minorEastAsia" w:eastAsiaTheme="minorEastAsia" w:cstheme="minorEastAsia"/>
          <w:bCs/>
          <w:color w:val="auto"/>
          <w:kern w:val="2"/>
          <w:sz w:val="24"/>
          <w:szCs w:val="24"/>
          <w:highlight w:val="none"/>
          <w:lang w:val="en-US" w:eastAsia="zh-CN"/>
        </w:rPr>
        <w:t>竞价</w:t>
      </w:r>
      <w:r>
        <w:rPr>
          <w:rFonts w:hint="eastAsia" w:asciiTheme="minorEastAsia" w:hAnsiTheme="minorEastAsia" w:eastAsiaTheme="minorEastAsia" w:cstheme="minorEastAsia"/>
          <w:bCs/>
          <w:color w:val="auto"/>
          <w:kern w:val="2"/>
          <w:sz w:val="24"/>
          <w:szCs w:val="24"/>
          <w:highlight w:val="none"/>
          <w:lang w:val="zh-CN" w:eastAsia="zh-CN"/>
        </w:rPr>
        <w:t>文件另有规定外，若出现有关法律、法规和规章有强制性规定但</w:t>
      </w:r>
      <w:r>
        <w:rPr>
          <w:rFonts w:hint="eastAsia" w:asciiTheme="minorEastAsia" w:hAnsiTheme="minorEastAsia" w:eastAsiaTheme="minorEastAsia" w:cstheme="minorEastAsia"/>
          <w:bCs/>
          <w:color w:val="auto"/>
          <w:kern w:val="2"/>
          <w:sz w:val="24"/>
          <w:szCs w:val="24"/>
          <w:highlight w:val="none"/>
          <w:lang w:val="en-US" w:eastAsia="zh-CN"/>
        </w:rPr>
        <w:t>竞价</w:t>
      </w:r>
      <w:r>
        <w:rPr>
          <w:rFonts w:hint="eastAsia" w:asciiTheme="minorEastAsia" w:hAnsiTheme="minorEastAsia" w:eastAsiaTheme="minorEastAsia" w:cstheme="minorEastAsia"/>
          <w:bCs/>
          <w:color w:val="auto"/>
          <w:kern w:val="2"/>
          <w:sz w:val="24"/>
          <w:szCs w:val="24"/>
          <w:highlight w:val="none"/>
          <w:lang w:val="zh-CN" w:eastAsia="zh-CN"/>
        </w:rPr>
        <w:t>文件未列明的情形，则乙方应按照有关法律、法规和规章强制性规定执行。</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zh-CN" w:eastAsia="zh-CN"/>
        </w:rPr>
        <w:t>（</w:t>
      </w:r>
      <w:r>
        <w:rPr>
          <w:rFonts w:hint="eastAsia" w:asciiTheme="minorEastAsia" w:hAnsiTheme="minorEastAsia" w:eastAsiaTheme="minorEastAsia" w:cstheme="minorEastAsia"/>
          <w:bCs/>
          <w:color w:val="auto"/>
          <w:kern w:val="2"/>
          <w:sz w:val="24"/>
          <w:szCs w:val="24"/>
          <w:highlight w:val="none"/>
          <w:lang w:val="en-US" w:eastAsia="zh-CN"/>
        </w:rPr>
        <w:t>2</w:t>
      </w:r>
      <w:r>
        <w:rPr>
          <w:rFonts w:hint="eastAsia" w:asciiTheme="minorEastAsia" w:hAnsiTheme="minorEastAsia" w:eastAsiaTheme="minorEastAsia" w:cstheme="minorEastAsia"/>
          <w:bCs/>
          <w:color w:val="auto"/>
          <w:kern w:val="2"/>
          <w:sz w:val="24"/>
          <w:szCs w:val="24"/>
          <w:highlight w:val="none"/>
          <w:lang w:val="zh-CN" w:eastAsia="zh-CN"/>
        </w:rPr>
        <w:t>） 因乙方未履行合同项下义务导致甲方所产生的一切损失（包括但不限于人身财产的损失、律师费、</w:t>
      </w:r>
      <w:r>
        <w:rPr>
          <w:rFonts w:hint="eastAsia" w:asciiTheme="minorEastAsia" w:hAnsiTheme="minorEastAsia" w:eastAsiaTheme="minorEastAsia" w:cstheme="minorEastAsia"/>
          <w:bCs/>
          <w:color w:val="auto"/>
          <w:kern w:val="2"/>
          <w:sz w:val="24"/>
          <w:szCs w:val="24"/>
          <w:highlight w:val="none"/>
          <w:lang w:val="en-US" w:eastAsia="zh-CN"/>
        </w:rPr>
        <w:t>仲裁服务费、</w:t>
      </w:r>
      <w:r>
        <w:rPr>
          <w:rFonts w:hint="eastAsia" w:asciiTheme="minorEastAsia" w:hAnsiTheme="minorEastAsia" w:eastAsiaTheme="minorEastAsia" w:cstheme="minorEastAsia"/>
          <w:bCs/>
          <w:color w:val="auto"/>
          <w:kern w:val="2"/>
          <w:sz w:val="24"/>
          <w:szCs w:val="24"/>
          <w:highlight w:val="none"/>
          <w:lang w:val="zh-CN" w:eastAsia="zh-CN"/>
        </w:rPr>
        <w:t>诉讼费、保全费、鉴定费等），均由乙方承担赔偿责任。</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zh-CN" w:eastAsia="zh-CN"/>
        </w:rPr>
        <w:t>（</w:t>
      </w:r>
      <w:r>
        <w:rPr>
          <w:rFonts w:hint="eastAsia" w:asciiTheme="minorEastAsia" w:hAnsiTheme="minorEastAsia" w:eastAsiaTheme="minorEastAsia" w:cstheme="minorEastAsia"/>
          <w:bCs/>
          <w:color w:val="auto"/>
          <w:kern w:val="2"/>
          <w:sz w:val="24"/>
          <w:szCs w:val="24"/>
          <w:highlight w:val="none"/>
          <w:lang w:val="en-US" w:eastAsia="zh-CN"/>
        </w:rPr>
        <w:t>3</w:t>
      </w:r>
      <w:r>
        <w:rPr>
          <w:rFonts w:hint="eastAsia" w:asciiTheme="minorEastAsia" w:hAnsiTheme="minorEastAsia" w:eastAsiaTheme="minorEastAsia" w:cstheme="minorEastAsia"/>
          <w:bCs/>
          <w:color w:val="auto"/>
          <w:kern w:val="2"/>
          <w:sz w:val="24"/>
          <w:szCs w:val="24"/>
          <w:highlight w:val="none"/>
          <w:lang w:val="zh-CN" w:eastAsia="zh-CN"/>
        </w:rPr>
        <w:t>） 通知与送达：</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zh-CN" w:eastAsia="zh-CN"/>
        </w:rPr>
        <w:t>乙方确认其送达地址为：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，联系电话：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，微信：</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zh-CN" w:eastAsia="zh-CN"/>
        </w:rPr>
        <w:t>以上约定的单位地址、邮箱、电话等联系方式作为送达地址，适用范围包括但不限于各类告知书、通知书、工作联系单、协议文件、诉讼或仲裁文书，送达主体可以是本项目各方、人民法院、仲裁委员会及各行政机关。</w:t>
      </w:r>
    </w:p>
    <w:p>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zh-CN" w:eastAsia="zh-CN"/>
        </w:rPr>
      </w:pPr>
      <w:r>
        <w:rPr>
          <w:rFonts w:hint="eastAsia" w:asciiTheme="minorEastAsia" w:hAnsiTheme="minorEastAsia" w:eastAsiaTheme="minorEastAsia" w:cstheme="minorEastAsia"/>
          <w:bCs/>
          <w:color w:val="auto"/>
          <w:kern w:val="2"/>
          <w:sz w:val="24"/>
          <w:szCs w:val="24"/>
          <w:highlight w:val="none"/>
          <w:lang w:val="zh-CN" w:eastAsia="zh-CN"/>
        </w:rPr>
        <w:t>送达主体按照上述送达地址进行送达，视为有效送达；上述送达地址、受送达人、联系方式发生变更的，变更一方应履行通知义务，因送达地址变更后未及时书面告知，导致未能被送达主体实际接收的，邮寄送达的，以邮寄件退回之日视为送达之日；直接送达的，送达人当场在送达回证上记明情况之日视为送达之日；履行送达地址变更通知义务的，以变更后的送达地址为有效送达地址。</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16、为保障乙方全面诚信参与采购项目和合同履约，乙方截止至本竞价公告发布之日起前三年内有下列情形之一的，不得参加本项目竞价，否则视为无效响应：</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（1）在参与甲方组织的采购项目中，存在相应采购项目出现不予退还竞价保证金情形的；</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（2）在参与甲方组织的同一个采购项目中，以同一事由或类似事由质疑（含投诉）两次均不成立后仍继续质疑（投诉）的；</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在履行甲方组织的采购合同过程中，因各种违约行为被甲方没收履约保证金，或扣罚违约金或索赔赔偿金总计在10000元或以上的。注：以上行为能确定时间的以确定时间计算，不能有效计算时间的以其项目采购公告发布时间计算。</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在本项目竞价过程中，乙方有下列情形之一的，将自动被列入甲方（本条款所称甲方特指福建省闽西监狱和福建龙岩锦泰工贸有限责任公司，下同）自行采购项目（政府采购限额标准以下的采购项目）不良行为记录名单三年，从本项目结果公告之日起算，禁止其参与甲方自行采购项目。</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（1）存在本竞价过程中不予退还竞价保证金情形的；</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（2）存在本竞价过程中以同一事由或类似事由质疑（含投诉）两次均不成立后仍继续质疑（投诉）的；</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（3）存在本竞价过程中因各种违约行为被甲方没收履约保证金，或扣罚违约金或索赔赔偿金总计在10000元或以上的。</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、合同争议处理方式：</w:t>
      </w:r>
    </w:p>
    <w:p>
      <w:pPr>
        <w:spacing w:line="360" w:lineRule="auto"/>
        <w:rPr>
          <w:rFonts w:ascii="宋体" w:hAnsi="宋体" w:cs="宋体"/>
          <w:color w:val="auto"/>
          <w:sz w:val="24"/>
          <w:highlight w:val="none"/>
          <w:lang w:val="zh-TW"/>
        </w:rPr>
      </w:pPr>
      <w:r>
        <w:rPr>
          <w:rFonts w:hint="eastAsia" w:ascii="宋体" w:hAnsi="宋体" w:cs="宋体"/>
          <w:color w:val="auto"/>
          <w:sz w:val="24"/>
          <w:highlight w:val="none"/>
        </w:rPr>
        <w:t>1.甲方及乙方</w:t>
      </w:r>
      <w:r>
        <w:rPr>
          <w:rFonts w:hint="eastAsia" w:ascii="宋体" w:hAnsi="宋体" w:cs="宋体"/>
          <w:color w:val="auto"/>
          <w:sz w:val="24"/>
          <w:highlight w:val="none"/>
          <w:lang w:val="zh-TW"/>
        </w:rPr>
        <w:t>双方必须认真履行合同条款。因本合同或与本合同有关的一切事项发生争议，由双方友好协商解决，协商不成的，任何一方均可向甲方所在地</w:t>
      </w:r>
      <w:r>
        <w:rPr>
          <w:rFonts w:hint="eastAsia" w:asciiTheme="minorEastAsia" w:hAnsiTheme="minorEastAsia" w:eastAsiaTheme="minorEastAsia" w:cstheme="minorEastAsia"/>
          <w:color w:val="auto"/>
          <w:sz w:val="24"/>
          <w:szCs w:val="24"/>
          <w:highlight w:val="none"/>
        </w:rPr>
        <w:t>龙岩仲裁委员会</w:t>
      </w:r>
      <w:r>
        <w:rPr>
          <w:rFonts w:hint="eastAsia" w:ascii="宋体" w:hAnsi="宋体" w:cs="宋体"/>
          <w:color w:val="auto"/>
          <w:sz w:val="24"/>
          <w:highlight w:val="none"/>
          <w:lang w:val="zh-TW"/>
        </w:rPr>
        <w:t>提起诉讼。</w:t>
      </w:r>
    </w:p>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TW"/>
        </w:rPr>
        <w:t>合同补充和修改：本合同生效后，双方对合同内容的变更或补充应采取书面形式，并经双方签字并盖章确认。</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、其他约定：</w:t>
      </w:r>
    </w:p>
    <w:p>
      <w:pPr>
        <w:spacing w:line="360" w:lineRule="auto"/>
        <w:rPr>
          <w:rFonts w:ascii="宋体" w:hAnsi="宋体" w:cs="宋体"/>
          <w:color w:val="auto"/>
          <w:sz w:val="24"/>
          <w:highlight w:val="none"/>
        </w:rPr>
      </w:pPr>
      <w:r>
        <w:rPr>
          <w:rFonts w:hint="eastAsia" w:ascii="宋体" w:hAnsi="宋体" w:cs="宋体"/>
          <w:color w:val="auto"/>
          <w:sz w:val="24"/>
          <w:highlight w:val="none"/>
        </w:rPr>
        <w:t>本合同一式肆份，经双方授权代表签字并盖章后生效。甲方执叁份，乙方执壹份。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tbl>
      <w:tblPr>
        <w:tblStyle w:val="20"/>
        <w:tblW w:w="0" w:type="auto"/>
        <w:tblInd w:w="0" w:type="dxa"/>
        <w:tblLayout w:type="fixed"/>
        <w:tblCellMar>
          <w:top w:w="0" w:type="dxa"/>
          <w:left w:w="108" w:type="dxa"/>
          <w:bottom w:w="0" w:type="dxa"/>
          <w:right w:w="108" w:type="dxa"/>
        </w:tblCellMar>
      </w:tblPr>
      <w:tblGrid>
        <w:gridCol w:w="1578"/>
        <w:gridCol w:w="2455"/>
        <w:gridCol w:w="1573"/>
        <w:gridCol w:w="3574"/>
      </w:tblGrid>
      <w:tr>
        <w:tblPrEx>
          <w:tblCellMar>
            <w:top w:w="0" w:type="dxa"/>
            <w:left w:w="108" w:type="dxa"/>
            <w:bottom w:w="0" w:type="dxa"/>
            <w:right w:w="108" w:type="dxa"/>
          </w:tblCellMar>
        </w:tblPrEx>
        <w:tc>
          <w:tcPr>
            <w:tcW w:w="1578"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甲方（签章）：</w:t>
            </w:r>
          </w:p>
        </w:tc>
        <w:tc>
          <w:tcPr>
            <w:tcW w:w="2455" w:type="dxa"/>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福建龙岩锦泰工贸有限责任公司</w:t>
            </w:r>
          </w:p>
        </w:tc>
        <w:tc>
          <w:tcPr>
            <w:tcW w:w="157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乙方（签章）：</w:t>
            </w:r>
          </w:p>
        </w:tc>
        <w:tc>
          <w:tcPr>
            <w:tcW w:w="3574" w:type="dxa"/>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c>
          <w:tcPr>
            <w:tcW w:w="1578"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2455" w:type="dxa"/>
          </w:tcPr>
          <w:p>
            <w:pPr>
              <w:spacing w:line="360" w:lineRule="auto"/>
              <w:ind w:firstLine="480" w:firstLineChars="200"/>
              <w:rPr>
                <w:rFonts w:ascii="宋体" w:hAnsi="宋体" w:cs="宋体"/>
                <w:color w:val="auto"/>
                <w:sz w:val="24"/>
                <w:highlight w:val="none"/>
              </w:rPr>
            </w:pPr>
          </w:p>
        </w:tc>
        <w:tc>
          <w:tcPr>
            <w:tcW w:w="157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3574" w:type="dxa"/>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c>
          <w:tcPr>
            <w:tcW w:w="1578"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2455" w:type="dxa"/>
          </w:tcPr>
          <w:p>
            <w:pPr>
              <w:spacing w:line="360" w:lineRule="auto"/>
              <w:ind w:firstLine="480" w:firstLineChars="200"/>
              <w:rPr>
                <w:rFonts w:ascii="宋体" w:hAnsi="宋体" w:cs="宋体"/>
                <w:color w:val="auto"/>
                <w:sz w:val="24"/>
                <w:highlight w:val="none"/>
              </w:rPr>
            </w:pPr>
          </w:p>
        </w:tc>
        <w:tc>
          <w:tcPr>
            <w:tcW w:w="157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3574" w:type="dxa"/>
          </w:tcPr>
          <w:p>
            <w:pPr>
              <w:spacing w:line="360" w:lineRule="auto"/>
              <w:ind w:firstLine="480" w:firstLineChars="200"/>
              <w:rPr>
                <w:rFonts w:ascii="宋体" w:hAnsi="宋体" w:cs="宋体"/>
                <w:color w:val="auto"/>
                <w:sz w:val="24"/>
                <w:highlight w:val="none"/>
              </w:rPr>
            </w:pPr>
          </w:p>
        </w:tc>
      </w:tr>
      <w:tr>
        <w:tblPrEx>
          <w:tblCellMar>
            <w:top w:w="0" w:type="dxa"/>
            <w:left w:w="108" w:type="dxa"/>
            <w:bottom w:w="0" w:type="dxa"/>
            <w:right w:w="108" w:type="dxa"/>
          </w:tblCellMar>
        </w:tblPrEx>
        <w:tc>
          <w:tcPr>
            <w:tcW w:w="1578"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单位地址：</w:t>
            </w:r>
          </w:p>
        </w:tc>
        <w:tc>
          <w:tcPr>
            <w:tcW w:w="2455" w:type="dxa"/>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福建省龙岩市新罗区凤凰北路2号</w:t>
            </w:r>
          </w:p>
        </w:tc>
        <w:tc>
          <w:tcPr>
            <w:tcW w:w="157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单位地址： </w:t>
            </w:r>
          </w:p>
        </w:tc>
        <w:tc>
          <w:tcPr>
            <w:tcW w:w="3574" w:type="dxa"/>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c>
          <w:tcPr>
            <w:tcW w:w="1578"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电话/手机：</w:t>
            </w:r>
          </w:p>
        </w:tc>
        <w:tc>
          <w:tcPr>
            <w:tcW w:w="2455" w:type="dxa"/>
          </w:tcPr>
          <w:p>
            <w:pPr>
              <w:spacing w:line="360" w:lineRule="auto"/>
              <w:ind w:firstLine="480" w:firstLineChars="200"/>
              <w:rPr>
                <w:rFonts w:ascii="宋体" w:hAnsi="宋体" w:cs="宋体"/>
                <w:color w:val="auto"/>
                <w:sz w:val="24"/>
                <w:highlight w:val="none"/>
              </w:rPr>
            </w:pPr>
          </w:p>
        </w:tc>
        <w:tc>
          <w:tcPr>
            <w:tcW w:w="157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电话/手机：</w:t>
            </w:r>
          </w:p>
        </w:tc>
        <w:tc>
          <w:tcPr>
            <w:tcW w:w="3574" w:type="dxa"/>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trHeight w:val="784" w:hRule="atLeast"/>
        </w:trPr>
        <w:tc>
          <w:tcPr>
            <w:tcW w:w="1578"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2455" w:type="dxa"/>
          </w:tcPr>
          <w:p>
            <w:pPr>
              <w:spacing w:line="360" w:lineRule="auto"/>
              <w:ind w:firstLine="480" w:firstLineChars="200"/>
              <w:rPr>
                <w:rFonts w:ascii="宋体" w:hAnsi="宋体" w:cs="宋体"/>
                <w:color w:val="auto"/>
                <w:sz w:val="24"/>
                <w:highlight w:val="none"/>
              </w:rPr>
            </w:pPr>
          </w:p>
        </w:tc>
        <w:tc>
          <w:tcPr>
            <w:tcW w:w="157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3574" w:type="dxa"/>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c>
          <w:tcPr>
            <w:tcW w:w="1578"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账    号：</w:t>
            </w:r>
          </w:p>
        </w:tc>
        <w:tc>
          <w:tcPr>
            <w:tcW w:w="2455" w:type="dxa"/>
          </w:tcPr>
          <w:p>
            <w:pPr>
              <w:spacing w:line="360" w:lineRule="auto"/>
              <w:ind w:firstLine="480" w:firstLineChars="200"/>
              <w:rPr>
                <w:rFonts w:ascii="宋体" w:hAnsi="宋体" w:cs="宋体"/>
                <w:color w:val="auto"/>
                <w:sz w:val="24"/>
                <w:highlight w:val="none"/>
              </w:rPr>
            </w:pPr>
          </w:p>
        </w:tc>
        <w:tc>
          <w:tcPr>
            <w:tcW w:w="157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账    号：</w:t>
            </w:r>
          </w:p>
        </w:tc>
        <w:tc>
          <w:tcPr>
            <w:tcW w:w="3574" w:type="dxa"/>
          </w:tcPr>
          <w:p>
            <w:pPr>
              <w:spacing w:line="360" w:lineRule="auto"/>
              <w:rPr>
                <w:rFonts w:ascii="宋体" w:hAnsi="宋体" w:cs="宋体"/>
                <w:color w:val="auto"/>
                <w:sz w:val="24"/>
                <w:highlight w:val="none"/>
              </w:rPr>
            </w:pPr>
          </w:p>
        </w:tc>
      </w:tr>
    </w:tbl>
    <w:p>
      <w:pPr>
        <w:rPr>
          <w:color w:val="auto"/>
          <w:highlight w:val="none"/>
        </w:rPr>
      </w:pPr>
    </w:p>
    <w:p>
      <w:pPr>
        <w:pStyle w:val="19"/>
        <w:rPr>
          <w:rFonts w:ascii="宋体" w:hAnsi="宋体" w:cs="宋体"/>
          <w:color w:val="auto"/>
          <w:highlight w:val="none"/>
        </w:rPr>
      </w:pPr>
    </w:p>
    <w:p>
      <w:pPr>
        <w:pStyle w:val="19"/>
        <w:rPr>
          <w:rFonts w:ascii="宋体" w:hAnsi="宋体" w:cs="宋体"/>
          <w:color w:val="auto"/>
          <w:highlight w:val="none"/>
        </w:rPr>
      </w:pPr>
    </w:p>
    <w:p>
      <w:pPr>
        <w:jc w:val="center"/>
        <w:rPr>
          <w:rFonts w:ascii="宋体" w:hAnsi="宋体" w:cs="宋体"/>
          <w:b/>
          <w:color w:val="auto"/>
          <w:sz w:val="36"/>
          <w:highlight w:val="none"/>
        </w:rPr>
      </w:pPr>
    </w:p>
    <w:p>
      <w:pPr>
        <w:pStyle w:val="19"/>
        <w:rPr>
          <w:rFonts w:ascii="宋体" w:hAnsi="宋体" w:cs="宋体"/>
          <w:color w:val="auto"/>
          <w:sz w:val="24"/>
          <w:highlight w:val="none"/>
        </w:rPr>
      </w:pPr>
    </w:p>
    <w:p>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pPr>
        <w:widowControl/>
        <w:spacing w:line="4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第五章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响应文件格式</w:t>
      </w:r>
    </w:p>
    <w:p>
      <w:pPr>
        <w:pStyle w:val="10"/>
        <w:spacing w:line="360" w:lineRule="auto"/>
        <w:rPr>
          <w:rFonts w:ascii="宋体" w:hAnsi="宋体" w:cs="宋体"/>
          <w:b/>
          <w:color w:val="auto"/>
          <w:kern w:val="0"/>
          <w:sz w:val="24"/>
          <w:highlight w:val="none"/>
        </w:rPr>
      </w:pPr>
    </w:p>
    <w:p>
      <w:pPr>
        <w:adjustRightInd w:val="0"/>
        <w:snapToGrid w:val="0"/>
        <w:spacing w:line="560" w:lineRule="exact"/>
        <w:rPr>
          <w:rFonts w:ascii="宋体" w:hAnsi="宋体" w:cs="宋体"/>
          <w:color w:val="auto"/>
          <w:sz w:val="24"/>
          <w:highlight w:val="none"/>
        </w:rPr>
      </w:pPr>
    </w:p>
    <w:p>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b w:val="0"/>
          <w:bCs w:val="0"/>
          <w:color w:val="auto"/>
          <w:sz w:val="24"/>
          <w:highlight w:val="none"/>
        </w:rPr>
        <w:t>响应文件编制说明</w:t>
      </w:r>
    </w:p>
    <w:p>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2.格式要求：响应文件应由单位负责人或授权代表签名并每页加盖公章或骑缝章。</w:t>
      </w:r>
    </w:p>
    <w:p>
      <w:pPr>
        <w:rPr>
          <w:rFonts w:ascii="宋体" w:hAnsi="宋体" w:cs="宋体"/>
          <w:color w:val="auto"/>
          <w:highlight w:val="none"/>
        </w:rPr>
      </w:pPr>
    </w:p>
    <w:p>
      <w:pPr>
        <w:pStyle w:val="4"/>
        <w:rPr>
          <w:rFonts w:cs="宋体"/>
          <w:color w:val="auto"/>
          <w:highlight w:val="none"/>
        </w:rPr>
      </w:pPr>
    </w:p>
    <w:p>
      <w:pPr>
        <w:rPr>
          <w:rFonts w:ascii="宋体" w:hAnsi="宋体" w:cs="宋体"/>
          <w:color w:val="auto"/>
          <w:highlight w:val="none"/>
        </w:rPr>
      </w:pPr>
    </w:p>
    <w:p>
      <w:pPr>
        <w:pStyle w:val="4"/>
        <w:rPr>
          <w:rFonts w:cs="宋体"/>
          <w:color w:val="auto"/>
          <w:highlight w:val="none"/>
        </w:rPr>
      </w:pPr>
    </w:p>
    <w:p>
      <w:pPr>
        <w:rPr>
          <w:rFonts w:ascii="宋体" w:hAnsi="宋体" w:cs="宋体"/>
          <w:color w:val="auto"/>
          <w:highlight w:val="none"/>
        </w:rPr>
      </w:pPr>
    </w:p>
    <w:p>
      <w:pPr>
        <w:pStyle w:val="5"/>
        <w:rPr>
          <w:rFonts w:hint="default" w:cs="宋体"/>
          <w:color w:val="auto"/>
          <w:highlight w:val="none"/>
        </w:rPr>
      </w:pPr>
    </w:p>
    <w:p>
      <w:pPr>
        <w:rPr>
          <w:rFonts w:ascii="宋体" w:hAnsi="宋体" w:cs="宋体"/>
          <w:color w:val="auto"/>
          <w:highlight w:val="none"/>
        </w:rPr>
      </w:pPr>
    </w:p>
    <w:p>
      <w:pPr>
        <w:pStyle w:val="5"/>
        <w:rPr>
          <w:rFonts w:hint="default" w:cs="宋体"/>
          <w:color w:val="auto"/>
          <w:highlight w:val="none"/>
        </w:rPr>
      </w:pPr>
    </w:p>
    <w:p>
      <w:pPr>
        <w:rPr>
          <w:rFonts w:ascii="宋体" w:hAnsi="宋体" w:cs="宋体"/>
          <w:color w:val="auto"/>
          <w:highlight w:val="none"/>
        </w:rPr>
      </w:pPr>
    </w:p>
    <w:p>
      <w:pPr>
        <w:pStyle w:val="5"/>
        <w:rPr>
          <w:rFonts w:hint="default"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18"/>
        <w:ind w:firstLine="210"/>
        <w:rPr>
          <w:rFonts w:ascii="宋体" w:hAnsi="宋体" w:cs="宋体"/>
          <w:color w:val="auto"/>
          <w:highlight w:val="none"/>
        </w:rPr>
      </w:pPr>
    </w:p>
    <w:p>
      <w:pPr>
        <w:pStyle w:val="7"/>
        <w:rPr>
          <w:rFonts w:ascii="宋体" w:hAnsi="宋体" w:cs="宋体"/>
          <w:color w:val="auto"/>
          <w:highlight w:val="none"/>
        </w:rPr>
      </w:pPr>
    </w:p>
    <w:p>
      <w:pPr>
        <w:pStyle w:val="8"/>
        <w:rPr>
          <w:rFonts w:ascii="宋体" w:hAnsi="宋体" w:cs="宋体"/>
          <w:color w:val="auto"/>
          <w:highlight w:val="none"/>
        </w:rPr>
      </w:pPr>
    </w:p>
    <w:p>
      <w:pPr>
        <w:pStyle w:val="7"/>
        <w:rPr>
          <w:rFonts w:ascii="宋体" w:hAnsi="宋体" w:cs="宋体"/>
          <w:color w:val="auto"/>
          <w:highlight w:val="none"/>
        </w:rPr>
      </w:pPr>
    </w:p>
    <w:p>
      <w:pPr>
        <w:spacing w:line="1000" w:lineRule="exact"/>
        <w:jc w:val="center"/>
        <w:rPr>
          <w:rFonts w:ascii="宋体" w:hAnsi="宋体" w:eastAsia="宋体" w:cs="宋体"/>
          <w:color w:val="auto"/>
          <w:sz w:val="96"/>
          <w:szCs w:val="96"/>
          <w:highlight w:val="none"/>
        </w:rPr>
      </w:pPr>
    </w:p>
    <w:p>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pPr>
        <w:pStyle w:val="24"/>
        <w:spacing w:after="120" w:line="500" w:lineRule="exact"/>
        <w:outlineLvl w:val="9"/>
        <w:rPr>
          <w:rStyle w:val="25"/>
          <w:rFonts w:ascii="宋体" w:hAnsi="宋体" w:cs="宋体"/>
          <w:b/>
          <w:bCs/>
          <w:color w:val="auto"/>
          <w:sz w:val="44"/>
          <w:szCs w:val="44"/>
          <w:highlight w:val="none"/>
        </w:rPr>
      </w:pPr>
    </w:p>
    <w:p>
      <w:pPr>
        <w:pStyle w:val="24"/>
        <w:spacing w:after="120" w:line="500" w:lineRule="exact"/>
        <w:jc w:val="center"/>
        <w:outlineLvl w:val="9"/>
        <w:rPr>
          <w:rStyle w:val="25"/>
          <w:rFonts w:ascii="宋体" w:hAnsi="宋体" w:cs="宋体"/>
          <w:b/>
          <w:bCs/>
          <w:color w:val="auto"/>
          <w:sz w:val="44"/>
          <w:szCs w:val="44"/>
          <w:highlight w:val="none"/>
        </w:rPr>
      </w:pPr>
      <w:r>
        <w:rPr>
          <w:rStyle w:val="25"/>
          <w:rFonts w:hint="eastAsia" w:hAnsi="宋体" w:cs="宋体"/>
          <w:b/>
          <w:bCs/>
          <w:color w:val="auto"/>
          <w:sz w:val="44"/>
          <w:szCs w:val="44"/>
          <w:highlight w:val="none"/>
        </w:rPr>
        <w:t>（第一部分</w:t>
      </w:r>
      <w:r>
        <w:rPr>
          <w:rStyle w:val="25"/>
          <w:rFonts w:hAnsi="宋体" w:cs="宋体"/>
          <w:b/>
          <w:bCs/>
          <w:color w:val="auto"/>
          <w:sz w:val="44"/>
          <w:szCs w:val="44"/>
          <w:highlight w:val="none"/>
        </w:rPr>
        <w:t xml:space="preserve">  </w:t>
      </w:r>
      <w:r>
        <w:rPr>
          <w:rStyle w:val="25"/>
          <w:rFonts w:hint="eastAsia" w:hAnsi="宋体" w:cs="宋体"/>
          <w:b/>
          <w:bCs/>
          <w:color w:val="auto"/>
          <w:sz w:val="44"/>
          <w:szCs w:val="44"/>
          <w:highlight w:val="none"/>
        </w:rPr>
        <w:t>资格及技术商务部分）</w:t>
      </w:r>
    </w:p>
    <w:p>
      <w:pPr>
        <w:spacing w:line="1000" w:lineRule="exact"/>
        <w:ind w:firstLine="1920" w:firstLineChars="200"/>
        <w:jc w:val="left"/>
        <w:rPr>
          <w:rFonts w:ascii="宋体" w:hAnsi="宋体" w:cs="宋体"/>
          <w:color w:val="auto"/>
          <w:sz w:val="96"/>
          <w:szCs w:val="96"/>
          <w:highlight w:val="none"/>
        </w:rPr>
      </w:pPr>
    </w:p>
    <w:p>
      <w:pPr>
        <w:spacing w:line="1000" w:lineRule="exact"/>
        <w:ind w:firstLine="1920" w:firstLineChars="200"/>
        <w:jc w:val="left"/>
        <w:rPr>
          <w:rFonts w:ascii="宋体" w:hAnsi="宋体" w:cs="宋体"/>
          <w:color w:val="auto"/>
          <w:sz w:val="96"/>
          <w:szCs w:val="96"/>
          <w:highlight w:val="none"/>
        </w:rPr>
      </w:pPr>
    </w:p>
    <w:p>
      <w:pPr>
        <w:pStyle w:val="4"/>
        <w:rPr>
          <w:rFonts w:cs="宋体"/>
          <w:color w:val="auto"/>
          <w:highlight w:val="none"/>
        </w:rPr>
      </w:pPr>
    </w:p>
    <w:p>
      <w:pPr>
        <w:spacing w:line="1000" w:lineRule="exact"/>
        <w:ind w:firstLine="1920" w:firstLineChars="200"/>
        <w:jc w:val="left"/>
        <w:rPr>
          <w:rFonts w:ascii="宋体" w:hAnsi="宋体" w:cs="宋体"/>
          <w:color w:val="auto"/>
          <w:sz w:val="96"/>
          <w:szCs w:val="96"/>
          <w:highlight w:val="none"/>
        </w:rPr>
      </w:pPr>
    </w:p>
    <w:p>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pPr>
        <w:pStyle w:val="11"/>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pPr>
        <w:spacing w:line="360" w:lineRule="auto"/>
        <w:ind w:firstLine="148" w:firstLineChars="49"/>
        <w:rPr>
          <w:rFonts w:ascii="宋体" w:hAnsi="宋体" w:cs="宋体"/>
          <w:b/>
          <w:color w:val="auto"/>
          <w:sz w:val="30"/>
          <w:highlight w:val="none"/>
        </w:rPr>
      </w:pPr>
      <w:r>
        <w:rPr>
          <w:rFonts w:ascii="宋体" w:hAnsi="宋体" w:cs="宋体"/>
          <w:b/>
          <w:color w:val="auto"/>
          <w:sz w:val="30"/>
          <w:highlight w:val="none"/>
        </w:rPr>
        <w:t xml:space="preserve">    地址：</w:t>
      </w:r>
    </w:p>
    <w:p>
      <w:pPr>
        <w:pStyle w:val="4"/>
        <w:rPr>
          <w:rFonts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18"/>
        <w:ind w:firstLine="210"/>
        <w:rPr>
          <w:rFonts w:ascii="宋体" w:hAnsi="宋体" w:cs="宋体"/>
          <w:color w:val="auto"/>
          <w:highlight w:val="none"/>
        </w:rPr>
      </w:pPr>
    </w:p>
    <w:p>
      <w:pPr>
        <w:pStyle w:val="19"/>
        <w:rPr>
          <w:rFonts w:ascii="宋体" w:hAnsi="宋体" w:cs="宋体"/>
          <w:color w:val="auto"/>
          <w:highlight w:val="none"/>
        </w:rPr>
      </w:pPr>
    </w:p>
    <w:p>
      <w:pPr>
        <w:pStyle w:val="19"/>
        <w:rPr>
          <w:rFonts w:ascii="宋体" w:hAnsi="宋体" w:cs="宋体"/>
          <w:color w:val="auto"/>
          <w:highlight w:val="none"/>
        </w:rPr>
      </w:pPr>
    </w:p>
    <w:p>
      <w:pPr>
        <w:pStyle w:val="18"/>
        <w:ind w:firstLine="210"/>
        <w:rPr>
          <w:rFonts w:ascii="宋体" w:hAnsi="宋体" w:cs="宋体"/>
          <w:color w:val="auto"/>
          <w:highlight w:val="none"/>
        </w:rPr>
      </w:pPr>
    </w:p>
    <w:p>
      <w:pPr>
        <w:pStyle w:val="8"/>
        <w:rPr>
          <w:rFonts w:ascii="宋体" w:hAnsi="宋体" w:cs="宋体"/>
          <w:color w:val="auto"/>
          <w:highlight w:val="none"/>
        </w:rPr>
      </w:pPr>
    </w:p>
    <w:p>
      <w:pPr>
        <w:pStyle w:val="24"/>
        <w:spacing w:after="120" w:line="500" w:lineRule="exact"/>
        <w:jc w:val="center"/>
        <w:outlineLvl w:val="9"/>
        <w:rPr>
          <w:rFonts w:hAnsi="宋体" w:cs="宋体"/>
          <w:b/>
          <w:color w:val="auto"/>
          <w:sz w:val="36"/>
          <w:highlight w:val="none"/>
        </w:rPr>
      </w:pPr>
      <w:r>
        <w:rPr>
          <w:rFonts w:hint="eastAsia" w:hAnsi="宋体" w:cs="宋体"/>
          <w:b/>
          <w:color w:val="auto"/>
          <w:kern w:val="0"/>
          <w:sz w:val="36"/>
          <w:highlight w:val="none"/>
        </w:rPr>
        <w:t>目</w:t>
      </w:r>
      <w:r>
        <w:rPr>
          <w:rFonts w:hAnsi="宋体" w:cs="宋体"/>
          <w:b/>
          <w:color w:val="auto"/>
          <w:kern w:val="0"/>
          <w:sz w:val="36"/>
          <w:highlight w:val="none"/>
        </w:rPr>
        <w:t xml:space="preserve">  </w:t>
      </w:r>
      <w:r>
        <w:rPr>
          <w:rFonts w:hint="eastAsia" w:hAnsi="宋体" w:cs="宋体"/>
          <w:b/>
          <w:color w:val="auto"/>
          <w:kern w:val="0"/>
          <w:sz w:val="36"/>
          <w:highlight w:val="none"/>
        </w:rPr>
        <w:t>录</w:t>
      </w:r>
    </w:p>
    <w:p>
      <w:pPr>
        <w:pStyle w:val="24"/>
        <w:spacing w:after="120" w:line="500" w:lineRule="exact"/>
        <w:outlineLvl w:val="9"/>
        <w:rPr>
          <w:rFonts w:hAnsi="宋体" w:cs="宋体"/>
          <w:b/>
          <w:color w:val="auto"/>
          <w:sz w:val="36"/>
          <w:highlight w:val="none"/>
        </w:rPr>
      </w:pPr>
    </w:p>
    <w:p>
      <w:pPr>
        <w:pStyle w:val="24"/>
        <w:spacing w:line="480" w:lineRule="auto"/>
        <w:rPr>
          <w:rFonts w:hAnsi="宋体" w:cs="宋体"/>
          <w:bCs/>
          <w:color w:val="auto"/>
          <w:sz w:val="24"/>
          <w:highlight w:val="none"/>
        </w:rPr>
      </w:pPr>
      <w:r>
        <w:rPr>
          <w:rFonts w:hAnsi="宋体" w:cs="宋体"/>
          <w:bCs/>
          <w:color w:val="auto"/>
          <w:kern w:val="0"/>
          <w:sz w:val="24"/>
          <w:highlight w:val="none"/>
        </w:rPr>
        <w:t>1、网上竞价承诺书</w:t>
      </w:r>
    </w:p>
    <w:p>
      <w:pPr>
        <w:pStyle w:val="24"/>
        <w:spacing w:line="480" w:lineRule="auto"/>
        <w:rPr>
          <w:rFonts w:hAnsi="宋体" w:cs="宋体"/>
          <w:bCs/>
          <w:color w:val="auto"/>
          <w:sz w:val="24"/>
          <w:highlight w:val="none"/>
        </w:rPr>
      </w:pPr>
      <w:r>
        <w:rPr>
          <w:rFonts w:hAnsi="宋体" w:cs="宋体"/>
          <w:bCs/>
          <w:color w:val="auto"/>
          <w:kern w:val="0"/>
          <w:sz w:val="24"/>
          <w:highlight w:val="none"/>
        </w:rPr>
        <w:t>2、</w:t>
      </w:r>
      <w:r>
        <w:rPr>
          <w:rFonts w:hint="eastAsia" w:hAnsi="宋体" w:cs="宋体"/>
          <w:color w:val="auto"/>
          <w:kern w:val="0"/>
          <w:sz w:val="24"/>
          <w:highlight w:val="none"/>
        </w:rPr>
        <w:t>有效营业执照复印件</w:t>
      </w:r>
      <w:r>
        <w:rPr>
          <w:rFonts w:hAnsi="宋体" w:cs="宋体"/>
          <w:color w:val="auto"/>
          <w:kern w:val="0"/>
          <w:sz w:val="24"/>
          <w:highlight w:val="none"/>
        </w:rPr>
        <w:t>等证明文件</w:t>
      </w:r>
    </w:p>
    <w:p>
      <w:pPr>
        <w:pStyle w:val="24"/>
        <w:spacing w:line="480" w:lineRule="auto"/>
        <w:rPr>
          <w:rFonts w:hAnsi="宋体" w:cs="宋体"/>
          <w:color w:val="auto"/>
          <w:sz w:val="24"/>
          <w:highlight w:val="none"/>
        </w:rPr>
      </w:pPr>
      <w:r>
        <w:rPr>
          <w:rFonts w:hAnsi="宋体" w:cs="宋体"/>
          <w:bCs/>
          <w:color w:val="auto"/>
          <w:kern w:val="0"/>
          <w:sz w:val="24"/>
          <w:highlight w:val="none"/>
        </w:rPr>
        <w:t>3、</w:t>
      </w:r>
      <w:r>
        <w:rPr>
          <w:rFonts w:hint="eastAsia" w:hAnsi="宋体" w:cs="宋体"/>
          <w:color w:val="auto"/>
          <w:kern w:val="0"/>
          <w:sz w:val="24"/>
          <w:highlight w:val="none"/>
        </w:rPr>
        <w:t>单位授权书</w:t>
      </w:r>
    </w:p>
    <w:p>
      <w:pPr>
        <w:pStyle w:val="24"/>
        <w:spacing w:line="480" w:lineRule="auto"/>
        <w:rPr>
          <w:rFonts w:hAnsi="宋体" w:cs="宋体"/>
          <w:color w:val="auto"/>
          <w:sz w:val="24"/>
          <w:highlight w:val="none"/>
        </w:rPr>
      </w:pPr>
      <w:r>
        <w:rPr>
          <w:rFonts w:hAnsi="宋体" w:cs="宋体"/>
          <w:color w:val="auto"/>
          <w:kern w:val="0"/>
          <w:sz w:val="24"/>
          <w:highlight w:val="none"/>
        </w:rPr>
        <w:t>4、网上竞价文件要求的其他资格和技术商务材料</w:t>
      </w:r>
    </w:p>
    <w:p>
      <w:pPr>
        <w:pStyle w:val="24"/>
        <w:spacing w:line="360" w:lineRule="auto"/>
        <w:outlineLvl w:val="9"/>
        <w:rPr>
          <w:rFonts w:hAnsi="宋体" w:cs="宋体"/>
          <w:bCs/>
          <w:color w:val="auto"/>
          <w:sz w:val="24"/>
          <w:highlight w:val="none"/>
        </w:rPr>
      </w:pPr>
    </w:p>
    <w:p>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40" w:right="1080" w:bottom="1440" w:left="1080" w:header="851" w:footer="646" w:gutter="0"/>
          <w:cols w:space="720" w:num="1"/>
          <w:docGrid w:linePitch="312" w:charSpace="0"/>
        </w:sectPr>
      </w:pPr>
    </w:p>
    <w:p>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ascii="宋体" w:hAnsi="宋体" w:cs="宋体"/>
          <w:b/>
          <w:color w:val="auto"/>
          <w:kern w:val="0"/>
          <w:sz w:val="28"/>
          <w:szCs w:val="28"/>
          <w:highlight w:val="none"/>
          <w:shd w:val="clear" w:color="auto" w:fill="FFFFFF"/>
        </w:rPr>
        <w:t>1、网上竞价承诺书</w:t>
      </w:r>
    </w:p>
    <w:p>
      <w:pPr>
        <w:widowControl/>
        <w:shd w:val="clear" w:color="auto" w:fill="FFFFFF"/>
        <w:spacing w:line="420" w:lineRule="exact"/>
        <w:rPr>
          <w:rFonts w:ascii="宋体" w:hAnsi="宋体" w:cs="宋体"/>
          <w:b/>
          <w:color w:val="auto"/>
          <w:kern w:val="0"/>
          <w:sz w:val="28"/>
          <w:szCs w:val="28"/>
          <w:highlight w:val="none"/>
          <w:shd w:val="clear" w:color="auto" w:fill="FFFFFF"/>
        </w:rPr>
      </w:pPr>
    </w:p>
    <w:p>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bCs/>
          <w:color w:val="auto"/>
          <w:sz w:val="24"/>
          <w:highlight w:val="none"/>
          <w:u w:val="single"/>
          <w:lang w:val="zh-CN"/>
        </w:rPr>
        <w:t>福建龙岩锦泰工贸有限责任公司</w:t>
      </w:r>
    </w:p>
    <w:p>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27"/>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27"/>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三、我公司确认响应文件中所有提交的文件和材料是真实的、准确的。</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四、我公司在参加本次采购活动前</w:t>
      </w:r>
      <w:r>
        <w:rPr>
          <w:rFonts w:ascii="宋体" w:hAnsi="宋体" w:cs="宋体"/>
          <w:color w:val="auto"/>
          <w:sz w:val="24"/>
          <w:highlight w:val="none"/>
        </w:rPr>
        <w:t>3年内，在经营活动中没有重大违法记录，也无行贿犯罪记录。</w:t>
      </w:r>
    </w:p>
    <w:p>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s="宋体"/>
          <w:color w:val="auto"/>
          <w:sz w:val="24"/>
          <w:highlight w:val="none"/>
        </w:rPr>
        <w:t>具备履行合同所必需的设备和专业技术能力。</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六、我公司承诺不存在“单位负责人为同一人或者存在直接控股、管理关系的不同供应商，同时参加同一合同包项下的网上竞价活动”的情形。</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七、我公司承诺不存在“在本项目以往的网上竞价活动中放弃成交、不能履行采购合同的情形（因不可抗力原因除外）”。</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八、我公司承诺未被列入福建省监狱管理局及其下属单位黑名单</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九、我公司已理解且完全响应本项目网上竞价文件的各项要求。</w:t>
      </w:r>
    </w:p>
    <w:p>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sz w:val="24"/>
          <w:highlight w:val="none"/>
        </w:rPr>
        <w:t>、以</w:t>
      </w:r>
      <w:r>
        <w:rPr>
          <w:rFonts w:hint="eastAsia" w:ascii="宋体" w:hAnsi="宋体" w:cs="宋体"/>
          <w:color w:val="auto"/>
          <w:sz w:val="24"/>
          <w:highlight w:val="none"/>
          <w:u w:val="single"/>
        </w:rPr>
        <w:t>       </w:t>
      </w:r>
      <w:r>
        <w:rPr>
          <w:rFonts w:hint="eastAsia" w:ascii="宋体" w:hAnsi="宋体" w:cs="宋体"/>
          <w:color w:val="auto"/>
          <w:sz w:val="24"/>
          <w:highlight w:val="none"/>
        </w:rPr>
        <w:t>方式提供的金额为人民币</w:t>
      </w:r>
      <w:r>
        <w:rPr>
          <w:rFonts w:hint="eastAsia" w:ascii="宋体" w:hAnsi="宋体" w:cs="宋体"/>
          <w:color w:val="auto"/>
          <w:sz w:val="24"/>
          <w:highlight w:val="none"/>
          <w:u w:val="single"/>
        </w:rPr>
        <w:t>        </w:t>
      </w:r>
      <w:r>
        <w:rPr>
          <w:rFonts w:hint="eastAsia" w:ascii="宋体" w:hAnsi="宋体" w:cs="宋体"/>
          <w:color w:val="auto"/>
          <w:sz w:val="24"/>
          <w:highlight w:val="none"/>
        </w:rPr>
        <w:t>元的保证金，已到</w:t>
      </w:r>
      <w:r>
        <w:rPr>
          <w:rFonts w:hint="eastAsia" w:ascii="宋体" w:hAnsi="宋体" w:cs="宋体"/>
          <w:color w:val="auto"/>
          <w:kern w:val="0"/>
          <w:sz w:val="24"/>
          <w:highlight w:val="none"/>
          <w:shd w:val="clear" w:color="auto" w:fill="FFFFFF"/>
        </w:rPr>
        <w:t>指定账户。</w:t>
      </w:r>
    </w:p>
    <w:p>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pPr>
        <w:widowControl/>
        <w:shd w:val="clear" w:color="auto" w:fill="FFFFFF"/>
        <w:spacing w:line="420" w:lineRule="exact"/>
        <w:jc w:val="left"/>
        <w:rPr>
          <w:rFonts w:ascii="宋体" w:hAnsi="宋体" w:cs="宋体"/>
          <w:color w:val="auto"/>
          <w:kern w:val="0"/>
          <w:sz w:val="24"/>
          <w:highlight w:val="none"/>
          <w:shd w:val="clear" w:color="auto" w:fill="FFFFFF"/>
        </w:rPr>
      </w:pPr>
    </w:p>
    <w:p>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r>
        <w:rPr>
          <w:rStyle w:val="27"/>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w:t>
      </w:r>
      <w:r>
        <w:rPr>
          <w:rFonts w:ascii="宋体" w:hAnsi="宋体" w:cs="宋体"/>
          <w:color w:val="auto"/>
          <w:kern w:val="0"/>
          <w:sz w:val="24"/>
          <w:highlight w:val="none"/>
          <w:shd w:val="clear" w:color="auto" w:fill="FFFFFF"/>
        </w:rPr>
        <w:t>(或供应商代表)签字：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p>
    <w:p>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年  月  日</w:t>
      </w:r>
    </w:p>
    <w:p>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pPr>
        <w:pStyle w:val="24"/>
        <w:spacing w:line="360" w:lineRule="auto"/>
        <w:jc w:val="center"/>
        <w:outlineLvl w:val="9"/>
        <w:rPr>
          <w:rFonts w:hAnsi="宋体" w:cs="宋体"/>
          <w:b/>
          <w:color w:val="auto"/>
          <w:szCs w:val="28"/>
          <w:highlight w:val="none"/>
        </w:rPr>
      </w:pPr>
      <w:r>
        <w:rPr>
          <w:rFonts w:ascii="宋体" w:hAnsi="宋体" w:cs="宋体"/>
          <w:b/>
          <w:color w:val="auto"/>
          <w:szCs w:val="28"/>
          <w:highlight w:val="none"/>
        </w:rPr>
        <w:t>2、有效营业执照复印件等证明文件</w:t>
      </w:r>
    </w:p>
    <w:p>
      <w:pPr>
        <w:pStyle w:val="24"/>
        <w:spacing w:line="360" w:lineRule="auto"/>
        <w:jc w:val="center"/>
        <w:outlineLvl w:val="9"/>
        <w:rPr>
          <w:rFonts w:hAnsi="宋体" w:cs="宋体"/>
          <w:b/>
          <w:color w:val="auto"/>
          <w:szCs w:val="28"/>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tabs>
          <w:tab w:val="center" w:pos="4861"/>
        </w:tabs>
        <w:jc w:val="left"/>
        <w:rPr>
          <w:rFonts w:ascii="宋体" w:hAnsi="宋体" w:cs="宋体"/>
          <w:color w:val="auto"/>
          <w:highlight w:val="none"/>
        </w:rPr>
        <w:sectPr>
          <w:pgSz w:w="11906" w:h="16838"/>
          <w:pgMar w:top="1247" w:right="924" w:bottom="1089" w:left="1259" w:header="851" w:footer="646" w:gutter="0"/>
          <w:cols w:space="720" w:num="1"/>
          <w:docGrid w:linePitch="312" w:charSpace="0"/>
        </w:sectPr>
      </w:pPr>
      <w:r>
        <w:rPr>
          <w:rFonts w:ascii="宋体" w:hAnsi="宋体" w:cs="宋体"/>
          <w:color w:val="auto"/>
          <w:highlight w:val="none"/>
        </w:rPr>
        <w:tab/>
      </w:r>
      <w:r>
        <w:rPr>
          <w:rFonts w:hint="eastAsia" w:ascii="宋体" w:hAnsi="宋体" w:eastAsia="宋体" w:cs="宋体"/>
          <w:color w:val="auto"/>
          <w:sz w:val="24"/>
          <w:highlight w:val="none"/>
        </w:rPr>
        <w:t>按网上竞价文件第一章要求提供</w:t>
      </w:r>
    </w:p>
    <w:p>
      <w:pPr>
        <w:pStyle w:val="24"/>
        <w:spacing w:line="360" w:lineRule="auto"/>
        <w:jc w:val="center"/>
        <w:outlineLvl w:val="9"/>
        <w:rPr>
          <w:rFonts w:hAnsi="宋体" w:cs="宋体"/>
          <w:b/>
          <w:color w:val="auto"/>
          <w:szCs w:val="28"/>
          <w:highlight w:val="none"/>
        </w:rPr>
      </w:pPr>
      <w:r>
        <w:rPr>
          <w:rFonts w:ascii="宋体" w:hAnsi="宋体" w:cs="宋体"/>
          <w:b/>
          <w:color w:val="auto"/>
          <w:szCs w:val="28"/>
          <w:highlight w:val="none"/>
        </w:rPr>
        <w:t>3、单位授权书</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致：</w:t>
      </w:r>
      <w:r>
        <w:rPr>
          <w:rFonts w:hint="eastAsia" w:cs="宋体"/>
          <w:bCs/>
          <w:color w:val="auto"/>
          <w:highlight w:val="none"/>
          <w:u w:val="single"/>
          <w:lang w:val="zh-CN"/>
        </w:rPr>
        <w:t>福建龙岩锦泰工贸有限责任公司</w:t>
      </w:r>
    </w:p>
    <w:p>
      <w:pPr>
        <w:pStyle w:val="16"/>
        <w:spacing w:before="0" w:beforeAutospacing="0" w:after="0" w:afterAutospacing="0" w:line="420" w:lineRule="exact"/>
        <w:ind w:firstLine="621" w:firstLineChars="259"/>
        <w:rPr>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（填写“供应商代表全名”）</w:t>
      </w:r>
      <w:r>
        <w:rPr>
          <w:rFonts w:hint="eastAsia" w:ascii="宋体" w:hAnsi="宋体" w:cs="宋体"/>
          <w:color w:val="auto"/>
          <w:highlight w:val="none"/>
        </w:rPr>
        <w:t>为供应商代表，代表我方参加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项目（编号：</w:t>
      </w:r>
      <w:r>
        <w:rPr>
          <w:rFonts w:hint="eastAsia" w:ascii="宋体" w:hAnsi="宋体" w:cs="宋体"/>
          <w:color w:val="auto"/>
          <w:highlight w:val="none"/>
          <w:u w:val="single"/>
        </w:rPr>
        <w:t>         </w:t>
      </w:r>
      <w:r>
        <w:rPr>
          <w:rFonts w:hint="eastAsia" w:ascii="宋体" w:hAnsi="宋体" w:cs="宋体"/>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pPr>
        <w:pStyle w:val="16"/>
        <w:spacing w:before="0" w:beforeAutospacing="0" w:after="0" w:afterAutospacing="0" w:line="420" w:lineRule="exact"/>
        <w:ind w:firstLine="336"/>
        <w:rPr>
          <w:color w:val="auto"/>
          <w:highlight w:val="none"/>
        </w:rPr>
      </w:pPr>
      <w:r>
        <w:rPr>
          <w:rFonts w:hint="eastAsia" w:ascii="宋体" w:hAnsi="宋体" w:cs="宋体"/>
          <w:color w:val="auto"/>
          <w:highlight w:val="none"/>
        </w:rPr>
        <w:t>供应商代表无转委权。特此授权。</w:t>
      </w:r>
    </w:p>
    <w:p>
      <w:pPr>
        <w:pStyle w:val="16"/>
        <w:spacing w:before="0" w:beforeAutospacing="0" w:after="0" w:afterAutospacing="0" w:line="420" w:lineRule="exact"/>
        <w:jc w:val="center"/>
        <w:outlineLvl w:val="0"/>
        <w:rPr>
          <w:color w:val="auto"/>
          <w:highlight w:val="none"/>
        </w:rPr>
      </w:pPr>
      <w:r>
        <w:rPr>
          <w:rFonts w:hint="eastAsia" w:ascii="宋体" w:hAnsi="宋体" w:cs="宋体"/>
          <w:color w:val="auto"/>
          <w:highlight w:val="none"/>
        </w:rPr>
        <w:t>（以下无正文）</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授权方</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（全称并加盖单位公章）</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接受授权方</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pPr>
        <w:pStyle w:val="16"/>
        <w:spacing w:before="0" w:beforeAutospacing="0" w:after="0" w:afterAutospacing="0" w:line="420" w:lineRule="exact"/>
        <w:jc w:val="right"/>
        <w:rPr>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6"/>
        <w:spacing w:before="0" w:beforeAutospacing="0" w:after="0" w:afterAutospacing="0" w:line="420" w:lineRule="exact"/>
        <w:rPr>
          <w:color w:val="auto"/>
          <w:highlight w:val="none"/>
        </w:rPr>
      </w:pPr>
      <w:r>
        <w:rPr>
          <w:rFonts w:hint="eastAsia" w:ascii="宋体" w:hAnsi="宋体" w:cs="宋体"/>
          <w:color w:val="auto"/>
          <w:highlight w:val="none"/>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tcMar>
              <w:top w:w="0" w:type="dxa"/>
              <w:left w:w="84" w:type="dxa"/>
              <w:bottom w:w="0" w:type="dxa"/>
              <w:right w:w="84" w:type="dxa"/>
            </w:tcMar>
            <w:vAlign w:val="center"/>
          </w:tcPr>
          <w:p>
            <w:pPr>
              <w:pStyle w:val="16"/>
              <w:spacing w:before="0" w:beforeAutospacing="0" w:after="0" w:afterAutospacing="0" w:line="420" w:lineRule="exact"/>
              <w:jc w:val="center"/>
              <w:rPr>
                <w:color w:val="auto"/>
                <w:highlight w:val="none"/>
              </w:rPr>
            </w:pPr>
            <w:r>
              <w:rPr>
                <w:rStyle w:val="22"/>
                <w:rFonts w:hint="eastAsia"/>
                <w:color w:val="auto"/>
                <w:highlight w:val="none"/>
              </w:rPr>
              <w:t> </w:t>
            </w:r>
          </w:p>
          <w:p>
            <w:pPr>
              <w:pStyle w:val="16"/>
              <w:spacing w:before="0" w:beforeAutospacing="0" w:after="0" w:afterAutospacing="0" w:line="420" w:lineRule="exact"/>
              <w:jc w:val="center"/>
              <w:rPr>
                <w:color w:val="auto"/>
                <w:highlight w:val="none"/>
              </w:rPr>
            </w:pPr>
            <w:r>
              <w:rPr>
                <w:rStyle w:val="22"/>
                <w:rFonts w:hint="eastAsia"/>
                <w:color w:val="auto"/>
                <w:highlight w:val="none"/>
              </w:rPr>
              <w:t>要求：真实有效且内容完整、清晰、整洁。</w:t>
            </w:r>
          </w:p>
          <w:p>
            <w:pPr>
              <w:pStyle w:val="16"/>
              <w:spacing w:before="0" w:beforeAutospacing="0" w:after="0" w:afterAutospacing="0" w:line="420" w:lineRule="exact"/>
              <w:jc w:val="center"/>
              <w:rPr>
                <w:color w:val="auto"/>
                <w:highlight w:val="none"/>
              </w:rPr>
            </w:pPr>
            <w:r>
              <w:rPr>
                <w:rStyle w:val="22"/>
                <w:rFonts w:hint="eastAsia"/>
                <w:color w:val="auto"/>
                <w:highlight w:val="none"/>
              </w:rPr>
              <w:t> </w:t>
            </w:r>
          </w:p>
        </w:tc>
      </w:tr>
    </w:tbl>
    <w:p>
      <w:pPr>
        <w:spacing w:line="400" w:lineRule="exact"/>
        <w:rPr>
          <w:rFonts w:ascii="宋体" w:hAnsi="宋体" w:cs="宋体"/>
          <w:bCs/>
          <w:color w:val="auto"/>
          <w:kern w:val="0"/>
          <w:szCs w:val="21"/>
          <w:highlight w:val="none"/>
        </w:rPr>
      </w:pPr>
      <w:r>
        <w:rPr>
          <w:rFonts w:hint="eastAsia" w:ascii="宋体" w:hAnsi="宋体" w:cs="宋体"/>
          <w:b w:val="0"/>
          <w:bCs w:val="0"/>
          <w:color w:val="auto"/>
          <w:szCs w:val="21"/>
          <w:highlight w:val="none"/>
        </w:rPr>
        <w:t>注：</w:t>
      </w:r>
      <w:r>
        <w:rPr>
          <w:rFonts w:ascii="宋体" w:hAnsi="宋体" w:cs="宋体"/>
          <w:b w:val="0"/>
          <w:bCs w:val="0"/>
          <w:color w:val="auto"/>
          <w:szCs w:val="21"/>
          <w:highlight w:val="none"/>
        </w:rPr>
        <w:t>1、法定代表人（单位负责人）身份证复印件、被授权人身份证复印件须</w:t>
      </w:r>
      <w:r>
        <w:rPr>
          <w:rFonts w:hint="eastAsia" w:ascii="宋体" w:hAnsi="宋体" w:cs="宋体"/>
          <w:b w:val="0"/>
          <w:bCs/>
          <w:color w:val="auto"/>
          <w:kern w:val="0"/>
          <w:szCs w:val="21"/>
          <w:highlight w:val="none"/>
        </w:rPr>
        <w:t>加盖单位公章。</w:t>
      </w:r>
    </w:p>
    <w:p>
      <w:pPr>
        <w:spacing w:line="400" w:lineRule="exact"/>
        <w:ind w:firstLine="420"/>
        <w:rPr>
          <w:rFonts w:ascii="宋体" w:hAnsi="宋体" w:cs="宋体"/>
          <w:b/>
          <w:color w:val="auto"/>
          <w:sz w:val="28"/>
          <w:szCs w:val="28"/>
          <w:highlight w:val="none"/>
        </w:rPr>
      </w:pPr>
      <w:r>
        <w:rPr>
          <w:rFonts w:ascii="宋体" w:hAnsi="宋体" w:cs="宋体"/>
          <w:b w:val="0"/>
          <w:bCs/>
          <w:color w:val="auto"/>
          <w:kern w:val="0"/>
          <w:szCs w:val="21"/>
          <w:highlight w:val="none"/>
        </w:rPr>
        <w:t>2、企业、事业单位和社会团体法人的“单位负责人”指法定代表人，即与实际提交的“营业执照等证明文件”载明的一致。以非法人身份参加</w:t>
      </w:r>
      <w:r>
        <w:rPr>
          <w:rFonts w:hint="eastAsia" w:ascii="宋体" w:hAnsi="宋体" w:cs="宋体"/>
          <w:b w:val="0"/>
          <w:bCs/>
          <w:color w:val="auto"/>
          <w:kern w:val="0"/>
          <w:szCs w:val="21"/>
          <w:highlight w:val="none"/>
        </w:rPr>
        <w:t>报价</w:t>
      </w:r>
      <w:r>
        <w:rPr>
          <w:rFonts w:ascii="宋体" w:hAnsi="宋体" w:cs="宋体"/>
          <w:b w:val="0"/>
          <w:bCs/>
          <w:color w:val="auto"/>
          <w:kern w:val="0"/>
          <w:szCs w:val="21"/>
          <w:highlight w:val="none"/>
        </w:rPr>
        <w:t>的，“单位负责人”指代表单位行使职权的主要负责人，即与实际提交的“营业执照等证明文件”载明的一致。</w:t>
      </w:r>
      <w:r>
        <w:rPr>
          <w:rFonts w:hint="eastAsia" w:ascii="宋体" w:hAnsi="宋体" w:cs="宋体"/>
          <w:b w:val="0"/>
          <w:bCs/>
          <w:color w:val="auto"/>
          <w:kern w:val="0"/>
          <w:szCs w:val="21"/>
          <w:highlight w:val="none"/>
        </w:rPr>
        <w:t>供应商</w:t>
      </w:r>
      <w:r>
        <w:rPr>
          <w:rFonts w:ascii="宋体" w:hAnsi="宋体" w:cs="宋体"/>
          <w:b w:val="0"/>
          <w:bCs/>
          <w:color w:val="auto"/>
          <w:kern w:val="0"/>
          <w:szCs w:val="21"/>
          <w:highlight w:val="none"/>
        </w:rPr>
        <w:t>（自然人除外）：若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为单位负责人授权的委托代理人，应提供本授权书；若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为单位负责人，应在此项下提交其身份证正反面复印件，可不提供本授权书。</w:t>
      </w:r>
    </w:p>
    <w:p>
      <w:pPr>
        <w:spacing w:line="360" w:lineRule="auto"/>
        <w:jc w:val="center"/>
        <w:outlineLvl w:val="2"/>
        <w:rPr>
          <w:rFonts w:ascii="宋体" w:hAnsi="宋体" w:cs="宋体"/>
          <w:b/>
          <w:color w:val="auto"/>
          <w:sz w:val="32"/>
          <w:szCs w:val="22"/>
          <w:highlight w:val="none"/>
        </w:rPr>
      </w:pPr>
    </w:p>
    <w:p>
      <w:pPr>
        <w:spacing w:line="360" w:lineRule="auto"/>
        <w:jc w:val="center"/>
        <w:outlineLvl w:val="2"/>
        <w:rPr>
          <w:rFonts w:ascii="宋体" w:hAnsi="宋体" w:cs="宋体"/>
          <w:b/>
          <w:color w:val="auto"/>
          <w:sz w:val="32"/>
          <w:szCs w:val="22"/>
          <w:highlight w:val="none"/>
        </w:rPr>
      </w:pPr>
      <w:r>
        <w:rPr>
          <w:rFonts w:ascii="宋体" w:hAnsi="宋体" w:cs="宋体"/>
          <w:b/>
          <w:color w:val="auto"/>
          <w:sz w:val="32"/>
          <w:szCs w:val="22"/>
          <w:highlight w:val="none"/>
        </w:rPr>
        <w:t>4.</w:t>
      </w:r>
      <w:r>
        <w:rPr>
          <w:rFonts w:ascii="宋体" w:hAnsi="宋体" w:cs="宋体"/>
          <w:b/>
          <w:bCs w:val="0"/>
          <w:color w:val="auto"/>
          <w:sz w:val="32"/>
          <w:szCs w:val="22"/>
          <w:highlight w:val="none"/>
        </w:rPr>
        <w:t>特定资格要求（若有）</w:t>
      </w:r>
    </w:p>
    <w:p>
      <w:pPr>
        <w:spacing w:line="360" w:lineRule="auto"/>
        <w:outlineLvl w:val="2"/>
        <w:rPr>
          <w:rFonts w:ascii="宋体" w:hAnsi="宋体" w:cs="宋体"/>
          <w:b/>
          <w:color w:val="auto"/>
          <w:sz w:val="32"/>
          <w:szCs w:val="22"/>
          <w:highlight w:val="none"/>
        </w:rPr>
      </w:pPr>
    </w:p>
    <w:p>
      <w:pPr>
        <w:spacing w:line="360" w:lineRule="auto"/>
        <w:jc w:val="center"/>
        <w:outlineLvl w:val="2"/>
        <w:rPr>
          <w:rFonts w:ascii="宋体" w:hAnsi="宋体" w:cs="宋体"/>
          <w:b/>
          <w:color w:val="auto"/>
          <w:sz w:val="32"/>
          <w:szCs w:val="22"/>
          <w:highlight w:val="none"/>
        </w:rPr>
      </w:pPr>
    </w:p>
    <w:p>
      <w:pPr>
        <w:spacing w:line="360" w:lineRule="auto"/>
        <w:jc w:val="center"/>
        <w:outlineLvl w:val="2"/>
        <w:rPr>
          <w:rFonts w:ascii="宋体" w:hAnsi="宋体" w:cs="宋体"/>
          <w:b/>
          <w:color w:val="auto"/>
          <w:sz w:val="32"/>
          <w:szCs w:val="22"/>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eastAsia="宋体" w:cs="宋体"/>
          <w:b/>
          <w:color w:val="auto"/>
          <w:sz w:val="40"/>
          <w:szCs w:val="40"/>
          <w:highlight w:val="none"/>
        </w:rPr>
      </w:pPr>
      <w:r>
        <w:rPr>
          <w:rFonts w:ascii="宋体" w:hAnsi="宋体" w:cs="宋体"/>
          <w:b/>
          <w:bCs w:val="0"/>
          <w:color w:val="auto"/>
          <w:sz w:val="28"/>
          <w:szCs w:val="28"/>
          <w:highlight w:val="none"/>
        </w:rPr>
        <w:t>5.供应商需提供的其他材料</w:t>
      </w:r>
    </w:p>
    <w:p>
      <w:pPr>
        <w:pStyle w:val="28"/>
        <w:spacing w:line="360" w:lineRule="auto"/>
        <w:jc w:val="center"/>
        <w:outlineLvl w:val="2"/>
        <w:rPr>
          <w:rFonts w:hint="default" w:ascii="宋体" w:hAnsi="宋体" w:cs="宋体"/>
          <w:b/>
          <w:color w:val="auto"/>
          <w:sz w:val="24"/>
          <w:szCs w:val="24"/>
          <w:highlight w:val="none"/>
        </w:rPr>
      </w:pPr>
      <w:r>
        <w:rPr>
          <w:rFonts w:ascii="宋体" w:hAnsi="宋体" w:cs="宋体"/>
          <w:b/>
          <w:color w:val="auto"/>
          <w:sz w:val="24"/>
          <w:szCs w:val="24"/>
          <w:highlight w:val="none"/>
        </w:rPr>
        <w:t>（</w:t>
      </w:r>
      <w:r>
        <w:rPr>
          <w:rFonts w:hint="default" w:ascii="宋体" w:hAnsi="宋体" w:cs="宋体"/>
          <w:b/>
          <w:bCs w:val="0"/>
          <w:color w:val="auto"/>
          <w:sz w:val="24"/>
          <w:szCs w:val="24"/>
          <w:highlight w:val="none"/>
        </w:rPr>
        <w:t>1）标的说明一览表</w:t>
      </w:r>
    </w:p>
    <w:p>
      <w:pPr>
        <w:pStyle w:val="28"/>
        <w:spacing w:line="360" w:lineRule="auto"/>
        <w:ind w:firstLine="480"/>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项目编号：</w:t>
      </w:r>
      <w:r>
        <w:rPr>
          <w:rFonts w:ascii="宋体" w:hAnsi="宋体" w:cs="宋体"/>
          <w:b w:val="0"/>
          <w:bCs w:val="0"/>
          <w:color w:val="auto"/>
          <w:sz w:val="24"/>
          <w:szCs w:val="24"/>
          <w:highlight w:val="none"/>
          <w:u w:val="single"/>
        </w:rPr>
        <w:t>　　　　　　　　</w:t>
      </w:r>
    </w:p>
    <w:tbl>
      <w:tblPr>
        <w:tblStyle w:val="20"/>
        <w:tblW w:w="50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3"/>
        <w:gridCol w:w="1071"/>
        <w:gridCol w:w="2222"/>
        <w:gridCol w:w="998"/>
        <w:gridCol w:w="1010"/>
        <w:gridCol w:w="976"/>
        <w:gridCol w:w="1465"/>
        <w:gridCol w:w="13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noWrap/>
          </w:tcPr>
          <w:p>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528" w:type="pct"/>
            <w:noWrap/>
            <w:vAlign w:val="center"/>
          </w:tcPr>
          <w:p>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1095" w:type="pct"/>
            <w:noWrap/>
          </w:tcPr>
          <w:p>
            <w:pPr>
              <w:pStyle w:val="28"/>
              <w:widowControl w:val="0"/>
              <w:spacing w:line="360" w:lineRule="auto"/>
              <w:jc w:val="center"/>
              <w:rPr>
                <w:rFonts w:hint="default" w:ascii="宋体" w:hAnsi="宋体" w:cs="宋体"/>
                <w:color w:val="auto"/>
                <w:kern w:val="0"/>
                <w:sz w:val="24"/>
                <w:szCs w:val="24"/>
                <w:highlight w:val="none"/>
              </w:rPr>
            </w:pPr>
            <w:r>
              <w:rPr>
                <w:rFonts w:hint="eastAsia" w:ascii="宋体" w:hAnsi="宋体" w:cs="宋体"/>
                <w:b w:val="0"/>
                <w:bCs w:val="0"/>
                <w:color w:val="auto"/>
                <w:sz w:val="24"/>
                <w:szCs w:val="24"/>
                <w:highlight w:val="none"/>
                <w:lang w:val="en-US" w:eastAsia="zh-CN"/>
              </w:rPr>
              <w:t>货物</w:t>
            </w:r>
            <w:r>
              <w:rPr>
                <w:rFonts w:ascii="宋体" w:hAnsi="宋体" w:cs="宋体"/>
                <w:b w:val="0"/>
                <w:bCs w:val="0"/>
                <w:color w:val="auto"/>
                <w:sz w:val="24"/>
                <w:szCs w:val="24"/>
                <w:highlight w:val="none"/>
              </w:rPr>
              <w:t>名称</w:t>
            </w:r>
          </w:p>
        </w:tc>
        <w:tc>
          <w:tcPr>
            <w:tcW w:w="492" w:type="pct"/>
            <w:noWrap/>
          </w:tcPr>
          <w:p>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数量</w:t>
            </w:r>
          </w:p>
        </w:tc>
        <w:tc>
          <w:tcPr>
            <w:tcW w:w="498" w:type="pct"/>
            <w:noWrap/>
          </w:tcPr>
          <w:p>
            <w:pPr>
              <w:pStyle w:val="28"/>
              <w:widowControl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单位</w:t>
            </w:r>
          </w:p>
        </w:tc>
        <w:tc>
          <w:tcPr>
            <w:tcW w:w="481" w:type="pct"/>
            <w:noWrap/>
          </w:tcPr>
          <w:p>
            <w:pPr>
              <w:pStyle w:val="28"/>
              <w:widowControl w:val="0"/>
              <w:spacing w:line="360" w:lineRule="auto"/>
              <w:jc w:val="center"/>
              <w:rPr>
                <w:rFonts w:hint="default" w:ascii="宋体" w:hAnsi="宋体" w:cs="宋体"/>
                <w:color w:val="auto"/>
                <w:kern w:val="0"/>
                <w:sz w:val="24"/>
                <w:szCs w:val="24"/>
                <w:highlight w:val="none"/>
              </w:rPr>
            </w:pPr>
            <w:r>
              <w:rPr>
                <w:rFonts w:hint="eastAsia" w:ascii="宋体" w:hAnsi="宋体" w:eastAsia="宋体" w:cs="宋体"/>
                <w:bCs/>
                <w:color w:val="auto"/>
                <w:kern w:val="2"/>
                <w:sz w:val="24"/>
                <w:szCs w:val="24"/>
                <w:highlight w:val="none"/>
                <w:lang w:val="en-US" w:eastAsia="zh-CN" w:bidi="ar-SA"/>
              </w:rPr>
              <w:t>品牌</w:t>
            </w:r>
          </w:p>
        </w:tc>
        <w:tc>
          <w:tcPr>
            <w:tcW w:w="722" w:type="pct"/>
            <w:noWrap/>
          </w:tcPr>
          <w:p>
            <w:pPr>
              <w:pStyle w:val="28"/>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规格/型号</w:t>
            </w:r>
          </w:p>
        </w:tc>
        <w:tc>
          <w:tcPr>
            <w:tcW w:w="661" w:type="pct"/>
            <w:noWrap/>
          </w:tcPr>
          <w:p>
            <w:pPr>
              <w:pStyle w:val="28"/>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生产厂家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restart"/>
            <w:noWrap/>
            <w:vAlign w:val="center"/>
          </w:tcPr>
          <w:p>
            <w:pPr>
              <w:pStyle w:val="28"/>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工业单冷机主机</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冷却塔</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0"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分支供水/回水管</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1-4</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主循环管</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745</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1-5</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循环泵</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1-6</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冷凝水管</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384</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1-7</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冷却塔电箱</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1-8</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内外机</w:t>
            </w:r>
            <w:r>
              <w:rPr>
                <w:rFonts w:hint="eastAsia" w:asciiTheme="minorEastAsia" w:hAnsiTheme="minorEastAsia" w:eastAsiaTheme="minorEastAsia" w:cstheme="minorEastAsia"/>
                <w:color w:val="auto"/>
                <w:kern w:val="0"/>
                <w:sz w:val="24"/>
                <w:szCs w:val="24"/>
                <w:highlight w:val="none"/>
                <w:lang w:bidi="ar"/>
              </w:rPr>
              <w:t>电源线</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1050</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1-9</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水塔开关</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1-10</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水泵开关</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1-11</w:t>
            </w:r>
          </w:p>
        </w:tc>
        <w:tc>
          <w:tcPr>
            <w:tcW w:w="1095"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主机开关</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7" w:hRule="atLeast"/>
        </w:trPr>
        <w:tc>
          <w:tcPr>
            <w:tcW w:w="519"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528"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1-12</w:t>
            </w:r>
          </w:p>
        </w:tc>
        <w:tc>
          <w:tcPr>
            <w:tcW w:w="1095"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辅材</w:t>
            </w:r>
          </w:p>
        </w:tc>
        <w:tc>
          <w:tcPr>
            <w:tcW w:w="492"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498"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pPr>
              <w:spacing w:line="360" w:lineRule="auto"/>
              <w:rPr>
                <w:rFonts w:ascii="宋体" w:hAnsi="宋体" w:cs="宋体"/>
                <w:color w:val="auto"/>
                <w:sz w:val="24"/>
                <w:highlight w:val="none"/>
              </w:rPr>
            </w:pPr>
          </w:p>
        </w:tc>
        <w:tc>
          <w:tcPr>
            <w:tcW w:w="722" w:type="pct"/>
            <w:noWrap/>
          </w:tcPr>
          <w:p>
            <w:pPr>
              <w:spacing w:line="360" w:lineRule="auto"/>
              <w:rPr>
                <w:rFonts w:ascii="宋体" w:hAnsi="宋体" w:cs="宋体"/>
                <w:color w:val="auto"/>
                <w:sz w:val="24"/>
                <w:highlight w:val="none"/>
              </w:rPr>
            </w:pPr>
          </w:p>
        </w:tc>
        <w:tc>
          <w:tcPr>
            <w:tcW w:w="661" w:type="pct"/>
            <w:noWrap/>
          </w:tcPr>
          <w:p>
            <w:pPr>
              <w:spacing w:line="360" w:lineRule="auto"/>
              <w:rPr>
                <w:rFonts w:ascii="宋体" w:hAnsi="宋体" w:cs="宋体"/>
                <w:color w:val="auto"/>
                <w:sz w:val="24"/>
                <w:highlight w:val="none"/>
              </w:rPr>
            </w:pPr>
          </w:p>
        </w:tc>
      </w:tr>
    </w:tbl>
    <w:p>
      <w:pPr>
        <w:pStyle w:val="28"/>
        <w:spacing w:line="360" w:lineRule="auto"/>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※注意：</w:t>
      </w:r>
    </w:p>
    <w:p>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1、本表应按照下列规定填写：</w:t>
      </w:r>
    </w:p>
    <w:p>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1.1“采购包”、“品目号”、“货物名称”及“数量”应与第三章《采购标的一览表》中的有关内容（“采购包”、“品目号”、“货物名称”及“数量”）保持一致。</w:t>
      </w:r>
    </w:p>
    <w:p>
      <w:pPr>
        <w:pStyle w:val="28"/>
        <w:spacing w:line="360" w:lineRule="auto"/>
        <w:ind w:firstLine="480"/>
        <w:jc w:val="both"/>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8"/>
        <w:spacing w:line="360" w:lineRule="auto"/>
        <w:ind w:firstLine="480"/>
        <w:jc w:val="right"/>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u w:val="single"/>
        </w:rPr>
        <w:br w:type="page"/>
      </w:r>
    </w:p>
    <w:p>
      <w:pPr>
        <w:pStyle w:val="9"/>
        <w:rPr>
          <w:rFonts w:ascii="宋体" w:hAnsi="宋体" w:cs="宋体"/>
          <w:color w:val="auto"/>
          <w:sz w:val="24"/>
          <w:highlight w:val="none"/>
        </w:rPr>
      </w:pPr>
    </w:p>
    <w:p>
      <w:pPr>
        <w:pStyle w:val="9"/>
        <w:rPr>
          <w:rFonts w:ascii="宋体" w:hAnsi="宋体" w:cs="宋体"/>
          <w:color w:val="auto"/>
          <w:sz w:val="24"/>
          <w:highlight w:val="none"/>
        </w:rPr>
      </w:pPr>
    </w:p>
    <w:p>
      <w:pPr>
        <w:pStyle w:val="9"/>
        <w:numPr>
          <w:ilvl w:val="0"/>
          <w:numId w:val="5"/>
        </w:numPr>
        <w:jc w:val="center"/>
        <w:rPr>
          <w:rFonts w:ascii="宋体" w:hAnsi="宋体" w:cs="宋体"/>
          <w:b/>
          <w:bCs/>
          <w:color w:val="auto"/>
          <w:sz w:val="24"/>
          <w:highlight w:val="none"/>
        </w:rPr>
      </w:pPr>
      <w:r>
        <w:rPr>
          <w:rFonts w:hint="eastAsia" w:ascii="宋体" w:hAnsi="宋体" w:cs="宋体"/>
          <w:b/>
          <w:bCs/>
          <w:color w:val="auto"/>
          <w:sz w:val="24"/>
          <w:highlight w:val="none"/>
        </w:rPr>
        <w:t>网上竞价内容及要求偏离表</w:t>
      </w:r>
    </w:p>
    <w:p>
      <w:pPr>
        <w:pStyle w:val="9"/>
        <w:rPr>
          <w:rFonts w:ascii="宋体" w:hAnsi="宋体" w:cs="宋体"/>
          <w:b/>
          <w:bCs/>
          <w:color w:val="auto"/>
          <w:sz w:val="28"/>
          <w:szCs w:val="28"/>
          <w:highlight w:val="none"/>
        </w:rPr>
      </w:pPr>
    </w:p>
    <w:p>
      <w:pPr>
        <w:pStyle w:val="16"/>
        <w:spacing w:before="0" w:beforeAutospacing="0" w:after="0" w:afterAutospacing="0" w:line="360" w:lineRule="auto"/>
        <w:ind w:right="376"/>
        <w:rPr>
          <w:color w:val="auto"/>
          <w:highlight w:val="none"/>
        </w:rPr>
      </w:pPr>
      <w:r>
        <w:rPr>
          <w:rFonts w:hint="eastAsia"/>
          <w:b w:val="0"/>
          <w:bCs w:val="0"/>
          <w:color w:val="auto"/>
          <w:highlight w:val="none"/>
        </w:rPr>
        <w:t>供应商名称：</w:t>
      </w:r>
      <w:r>
        <w:rPr>
          <w:rFonts w:hint="eastAsia"/>
          <w:b w:val="0"/>
          <w:bCs w:val="0"/>
          <w:color w:val="auto"/>
          <w:highlight w:val="none"/>
          <w:u w:val="single"/>
        </w:rPr>
        <w:t>（全称加盖单位公章）</w:t>
      </w:r>
      <w:r>
        <w:rPr>
          <w:b w:val="0"/>
          <w:bCs w:val="0"/>
          <w:color w:val="auto"/>
          <w:highlight w:val="none"/>
        </w:rPr>
        <w:t xml:space="preserve">         项目编号：</w:t>
      </w:r>
      <w:r>
        <w:rPr>
          <w:rFonts w:hint="eastAsia"/>
          <w:b w:val="0"/>
          <w:bCs w:val="0"/>
          <w:color w:val="auto"/>
          <w:highlight w:val="none"/>
          <w:u w:val="single"/>
        </w:rPr>
        <w:t>　　　　　　　　　　</w:t>
      </w:r>
    </w:p>
    <w:tbl>
      <w:tblPr>
        <w:tblStyle w:val="20"/>
        <w:tblW w:w="4995" w:type="pct"/>
        <w:tblInd w:w="0" w:type="dxa"/>
        <w:tblLayout w:type="autofit"/>
        <w:tblCellMar>
          <w:top w:w="0" w:type="dxa"/>
          <w:left w:w="0" w:type="dxa"/>
          <w:bottom w:w="0" w:type="dxa"/>
          <w:right w:w="0" w:type="dxa"/>
        </w:tblCellMar>
      </w:tblPr>
      <w:tblGrid>
        <w:gridCol w:w="960"/>
        <w:gridCol w:w="3641"/>
        <w:gridCol w:w="3332"/>
        <w:gridCol w:w="2043"/>
      </w:tblGrid>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合同包</w:t>
            </w: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是否偏离及说明</w:t>
            </w: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480" w:lineRule="atLeast"/>
              <w:jc w:val="center"/>
              <w:rPr>
                <w:color w:val="auto"/>
                <w:highlight w:val="none"/>
              </w:rP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480" w:lineRule="atLeast"/>
              <w:jc w:val="center"/>
              <w:rPr>
                <w:color w:val="auto"/>
                <w:highlight w:val="none"/>
              </w:rP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pPr>
              <w:pStyle w:val="16"/>
              <w:wordWrap w:val="0"/>
              <w:spacing w:before="0" w:beforeAutospacing="0" w:after="0" w:afterAutospacing="0" w:line="480" w:lineRule="atLeast"/>
              <w:jc w:val="center"/>
              <w:rPr>
                <w:color w:val="auto"/>
                <w:highlight w:val="none"/>
              </w:rPr>
            </w:pPr>
          </w:p>
        </w:tc>
      </w:tr>
    </w:tbl>
    <w:p>
      <w:pPr>
        <w:pStyle w:val="16"/>
        <w:spacing w:before="0" w:beforeAutospacing="0" w:after="0" w:afterAutospacing="0" w:line="360" w:lineRule="auto"/>
        <w:rPr>
          <w:b/>
          <w:bCs/>
          <w:color w:val="auto"/>
          <w:highlight w:val="none"/>
        </w:rPr>
      </w:pPr>
      <w:r>
        <w:rPr>
          <w:rFonts w:hint="eastAsia"/>
          <w:b/>
          <w:bCs/>
          <w:color w:val="auto"/>
          <w:highlight w:val="none"/>
        </w:rPr>
        <w:t>注：</w:t>
      </w:r>
    </w:p>
    <w:p>
      <w:pPr>
        <w:pStyle w:val="16"/>
        <w:numPr>
          <w:ilvl w:val="0"/>
          <w:numId w:val="6"/>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highlight w:val="none"/>
          <w:lang w:eastAsia="zh-CN"/>
        </w:rPr>
        <w:t>竞价</w:t>
      </w:r>
      <w:r>
        <w:rPr>
          <w:rFonts w:hint="eastAsia"/>
          <w:b/>
          <w:bCs/>
          <w:color w:val="auto"/>
          <w:highlight w:val="none"/>
        </w:rPr>
        <w:t>保证金（如果未签订合同）将不予退还，给采购人和采购代理机构造成损失的，还必须进行赔偿并负相关责任。</w:t>
      </w: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pStyle w:val="8"/>
        <w:spacing w:line="360" w:lineRule="auto"/>
        <w:ind w:left="0" w:leftChars="0"/>
        <w:rPr>
          <w:rFonts w:ascii="宋体" w:hAnsi="宋体" w:cs="宋体"/>
          <w:color w:val="auto"/>
          <w:sz w:val="24"/>
          <w:highlight w:val="none"/>
        </w:rPr>
      </w:pPr>
    </w:p>
    <w:p>
      <w:pPr>
        <w:pStyle w:val="9"/>
        <w:rPr>
          <w:rFonts w:ascii="宋体" w:hAnsi="宋体" w:cs="宋体"/>
          <w:color w:val="auto"/>
          <w:sz w:val="24"/>
          <w:highlight w:val="none"/>
        </w:rPr>
      </w:pPr>
    </w:p>
    <w:p>
      <w:pPr>
        <w:pStyle w:val="9"/>
        <w:rPr>
          <w:rFonts w:ascii="宋体" w:hAnsi="宋体" w:cs="宋体"/>
          <w:color w:val="auto"/>
          <w:sz w:val="24"/>
          <w:highlight w:val="none"/>
        </w:rPr>
      </w:pPr>
    </w:p>
    <w:p>
      <w:pPr>
        <w:pStyle w:val="8"/>
        <w:spacing w:line="360" w:lineRule="auto"/>
        <w:ind w:left="0" w:leftChars="0"/>
        <w:rPr>
          <w:rFonts w:ascii="宋体" w:hAnsi="宋体" w:cs="宋体"/>
          <w:b/>
          <w:bCs/>
          <w:color w:val="auto"/>
          <w:sz w:val="28"/>
          <w:szCs w:val="28"/>
          <w:highlight w:val="none"/>
        </w:rPr>
      </w:pPr>
    </w:p>
    <w:p>
      <w:pPr>
        <w:pStyle w:val="8"/>
        <w:spacing w:line="360" w:lineRule="auto"/>
        <w:ind w:left="0" w:leftChars="0"/>
        <w:rPr>
          <w:rFonts w:ascii="宋体" w:hAnsi="宋体" w:cs="宋体"/>
          <w:b/>
          <w:bCs/>
          <w:color w:val="auto"/>
          <w:sz w:val="28"/>
          <w:szCs w:val="28"/>
          <w:highlight w:val="none"/>
        </w:rPr>
      </w:pPr>
    </w:p>
    <w:p>
      <w:pPr>
        <w:pStyle w:val="8"/>
        <w:spacing w:line="360" w:lineRule="auto"/>
        <w:ind w:left="0" w:leftChars="0"/>
        <w:rPr>
          <w:rFonts w:ascii="宋体" w:hAnsi="宋体" w:cs="宋体"/>
          <w:b/>
          <w:bCs/>
          <w:color w:val="auto"/>
          <w:sz w:val="28"/>
          <w:szCs w:val="28"/>
          <w:highlight w:val="none"/>
        </w:rPr>
      </w:pPr>
    </w:p>
    <w:p>
      <w:pPr>
        <w:pStyle w:val="8"/>
        <w:spacing w:line="360" w:lineRule="auto"/>
        <w:ind w:left="0" w:leftChars="0"/>
        <w:rPr>
          <w:rFonts w:ascii="宋体" w:hAnsi="宋体" w:cs="宋体"/>
          <w:b/>
          <w:bCs/>
          <w:color w:val="auto"/>
          <w:sz w:val="28"/>
          <w:szCs w:val="28"/>
          <w:highlight w:val="none"/>
        </w:rPr>
      </w:pPr>
    </w:p>
    <w:p>
      <w:pPr>
        <w:pStyle w:val="8"/>
        <w:spacing w:line="360" w:lineRule="auto"/>
        <w:ind w:left="0" w:leftChars="0"/>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3）网上竞价保证金凭证复印件</w:t>
      </w:r>
    </w:p>
    <w:p>
      <w:pPr>
        <w:pStyle w:val="8"/>
        <w:spacing w:line="360" w:lineRule="auto"/>
        <w:ind w:left="0" w:leftChars="0"/>
        <w:rPr>
          <w:rFonts w:ascii="宋体" w:hAnsi="宋体" w:cs="宋体"/>
          <w:b/>
          <w:bCs/>
          <w:color w:val="auto"/>
          <w:sz w:val="28"/>
          <w:szCs w:val="28"/>
          <w:highlight w:val="none"/>
        </w:rPr>
      </w:pPr>
    </w:p>
    <w:p>
      <w:pPr>
        <w:pStyle w:val="9"/>
        <w:rPr>
          <w:rFonts w:ascii="宋体" w:hAnsi="宋体" w:cs="宋体"/>
          <w:b/>
          <w:bCs/>
          <w:color w:val="auto"/>
          <w:sz w:val="28"/>
          <w:szCs w:val="28"/>
          <w:highlight w:val="none"/>
        </w:rPr>
      </w:pPr>
    </w:p>
    <w:p>
      <w:pPr>
        <w:pStyle w:val="9"/>
        <w:rPr>
          <w:rFonts w:ascii="宋体" w:hAnsi="宋体" w:cs="宋体"/>
          <w:b/>
          <w:bCs/>
          <w:color w:val="auto"/>
          <w:sz w:val="28"/>
          <w:szCs w:val="28"/>
          <w:highlight w:val="none"/>
        </w:rPr>
      </w:pPr>
    </w:p>
    <w:p>
      <w:pPr>
        <w:pStyle w:val="8"/>
        <w:spacing w:line="360" w:lineRule="auto"/>
        <w:ind w:left="0" w:leftChars="0"/>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凭证复印件在此项下提交</w:t>
      </w:r>
    </w:p>
    <w:p>
      <w:pPr>
        <w:pStyle w:val="9"/>
        <w:rPr>
          <w:rFonts w:ascii="宋体" w:hAnsi="宋体" w:cs="宋体"/>
          <w:b/>
          <w:bCs/>
          <w:color w:val="auto"/>
          <w:sz w:val="28"/>
          <w:szCs w:val="28"/>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pStyle w:val="9"/>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4"/>
          <w:highlight w:val="none"/>
        </w:rPr>
      </w:pPr>
    </w:p>
    <w:p>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4）网上竞价文件第三章要求的其他证明材料（若有）</w:t>
      </w: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8"/>
          <w:szCs w:val="28"/>
          <w:highlight w:val="none"/>
        </w:rPr>
      </w:pPr>
    </w:p>
    <w:p>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pPr>
        <w:pStyle w:val="9"/>
        <w:rPr>
          <w:rFonts w:ascii="宋体" w:hAnsi="宋体" w:cs="宋体"/>
          <w:b/>
          <w:bCs/>
          <w:color w:val="auto"/>
          <w:sz w:val="28"/>
          <w:szCs w:val="28"/>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pStyle w:val="9"/>
        <w:rPr>
          <w:rFonts w:ascii="宋体" w:hAnsi="宋体" w:cs="宋体"/>
          <w:b/>
          <w:bCs/>
          <w:color w:val="auto"/>
          <w:sz w:val="28"/>
          <w:szCs w:val="28"/>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5）供应商认为应提交的其他材料（若有）</w:t>
      </w:r>
    </w:p>
    <w:p>
      <w:pPr>
        <w:pStyle w:val="7"/>
        <w:rPr>
          <w:rFonts w:ascii="宋体" w:hAnsi="宋体" w:eastAsia="宋体" w:cs="宋体"/>
          <w:b/>
          <w:color w:val="auto"/>
          <w:sz w:val="24"/>
          <w:szCs w:val="24"/>
          <w:highlight w:val="none"/>
        </w:rPr>
      </w:pPr>
    </w:p>
    <w:p>
      <w:pPr>
        <w:pStyle w:val="8"/>
        <w:rPr>
          <w:rFonts w:ascii="宋体" w:hAnsi="宋体" w:eastAsia="宋体" w:cs="宋体"/>
          <w:b/>
          <w:color w:val="auto"/>
          <w:sz w:val="24"/>
          <w:highlight w:val="none"/>
        </w:rPr>
      </w:pPr>
    </w:p>
    <w:p>
      <w:pPr>
        <w:pStyle w:val="7"/>
        <w:rPr>
          <w:rFonts w:ascii="宋体" w:hAnsi="宋体" w:eastAsia="宋体" w:cs="宋体"/>
          <w:b/>
          <w:color w:val="auto"/>
          <w:sz w:val="24"/>
          <w:szCs w:val="24"/>
          <w:highlight w:val="none"/>
        </w:rPr>
      </w:pPr>
    </w:p>
    <w:p>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pPr>
        <w:pStyle w:val="9"/>
        <w:rPr>
          <w:rFonts w:ascii="宋体" w:hAnsi="宋体" w:cs="宋体"/>
          <w:b/>
          <w:bCs/>
          <w:color w:val="auto"/>
          <w:sz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p>
    <w:p>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pStyle w:val="8"/>
        <w:rPr>
          <w:rFonts w:ascii="宋体" w:hAnsi="宋体" w:eastAsia="宋体" w:cs="宋体"/>
          <w:b/>
          <w:color w:val="auto"/>
          <w:sz w:val="44"/>
          <w:szCs w:val="44"/>
          <w:highlight w:val="none"/>
        </w:rPr>
      </w:pPr>
    </w:p>
    <w:p>
      <w:pPr>
        <w:pStyle w:val="7"/>
        <w:rPr>
          <w:rFonts w:ascii="宋体" w:hAnsi="宋体" w:eastAsia="宋体" w:cs="宋体"/>
          <w:b/>
          <w:color w:val="auto"/>
          <w:sz w:val="44"/>
          <w:szCs w:val="44"/>
          <w:highlight w:val="none"/>
        </w:rPr>
      </w:pPr>
    </w:p>
    <w:p>
      <w:pPr>
        <w:pStyle w:val="8"/>
        <w:rPr>
          <w:rFonts w:ascii="宋体" w:hAnsi="宋体" w:eastAsia="宋体" w:cs="宋体"/>
          <w:b/>
          <w:color w:val="auto"/>
          <w:sz w:val="44"/>
          <w:szCs w:val="44"/>
          <w:highlight w:val="none"/>
        </w:rPr>
      </w:pPr>
    </w:p>
    <w:p>
      <w:pPr>
        <w:pStyle w:val="7"/>
        <w:rPr>
          <w:rFonts w:ascii="宋体" w:hAnsi="宋体" w:eastAsia="宋体" w:cs="宋体"/>
          <w:b/>
          <w:color w:val="auto"/>
          <w:sz w:val="44"/>
          <w:szCs w:val="44"/>
          <w:highlight w:val="none"/>
        </w:rPr>
      </w:pPr>
    </w:p>
    <w:p>
      <w:pPr>
        <w:pStyle w:val="8"/>
        <w:rPr>
          <w:rFonts w:ascii="宋体" w:hAnsi="宋体" w:eastAsia="宋体" w:cs="宋体"/>
          <w:b/>
          <w:color w:val="auto"/>
          <w:sz w:val="44"/>
          <w:szCs w:val="44"/>
          <w:highlight w:val="none"/>
        </w:rPr>
      </w:pPr>
    </w:p>
    <w:p>
      <w:pPr>
        <w:pStyle w:val="7"/>
        <w:rPr>
          <w:rFonts w:ascii="宋体" w:hAnsi="宋体" w:cs="宋体"/>
          <w:color w:val="auto"/>
          <w:highlight w:val="none"/>
        </w:rPr>
      </w:pPr>
    </w:p>
    <w:p>
      <w:pPr>
        <w:pStyle w:val="8"/>
        <w:rPr>
          <w:rFonts w:ascii="宋体" w:hAnsi="宋体" w:eastAsia="宋体" w:cs="宋体"/>
          <w:b/>
          <w:color w:val="auto"/>
          <w:sz w:val="44"/>
          <w:szCs w:val="44"/>
          <w:highlight w:val="none"/>
        </w:rPr>
      </w:pPr>
    </w:p>
    <w:p>
      <w:pPr>
        <w:pStyle w:val="7"/>
        <w:rPr>
          <w:rFonts w:ascii="宋体" w:hAnsi="宋体" w:eastAsia="宋体" w:cs="宋体"/>
          <w:b/>
          <w:color w:val="auto"/>
          <w:sz w:val="44"/>
          <w:szCs w:val="44"/>
          <w:highlight w:val="none"/>
        </w:rPr>
      </w:pPr>
    </w:p>
    <w:p>
      <w:pPr>
        <w:pStyle w:val="8"/>
        <w:rPr>
          <w:rFonts w:ascii="宋体" w:hAnsi="宋体" w:eastAsia="宋体" w:cs="宋体"/>
          <w:b/>
          <w:color w:val="auto"/>
          <w:sz w:val="44"/>
          <w:szCs w:val="44"/>
          <w:highlight w:val="none"/>
        </w:rPr>
      </w:pPr>
    </w:p>
    <w:p>
      <w:pPr>
        <w:pStyle w:val="7"/>
        <w:rPr>
          <w:rFonts w:ascii="宋体" w:hAnsi="宋体" w:eastAsia="宋体" w:cs="宋体"/>
          <w:b/>
          <w:color w:val="auto"/>
          <w:sz w:val="44"/>
          <w:szCs w:val="44"/>
          <w:highlight w:val="none"/>
        </w:rPr>
      </w:pPr>
    </w:p>
    <w:p>
      <w:pPr>
        <w:pStyle w:val="8"/>
        <w:ind w:left="0" w:leftChars="0"/>
        <w:rPr>
          <w:rFonts w:ascii="宋体" w:hAnsi="宋体" w:eastAsia="宋体" w:cs="宋体"/>
          <w:b/>
          <w:color w:val="auto"/>
          <w:sz w:val="44"/>
          <w:szCs w:val="44"/>
          <w:highlight w:val="none"/>
        </w:rPr>
      </w:pPr>
    </w:p>
    <w:p>
      <w:pPr>
        <w:pStyle w:val="9"/>
        <w:rPr>
          <w:rFonts w:ascii="宋体" w:hAnsi="宋体" w:eastAsia="宋体" w:cs="宋体"/>
          <w:b/>
          <w:color w:val="auto"/>
          <w:sz w:val="44"/>
          <w:szCs w:val="44"/>
          <w:highlight w:val="none"/>
        </w:rPr>
      </w:pPr>
    </w:p>
    <w:p>
      <w:pPr>
        <w:pStyle w:val="9"/>
        <w:rPr>
          <w:rFonts w:ascii="宋体" w:hAnsi="宋体" w:eastAsia="宋体" w:cs="宋体"/>
          <w:b/>
          <w:color w:val="auto"/>
          <w:sz w:val="44"/>
          <w:szCs w:val="44"/>
          <w:highlight w:val="none"/>
        </w:rPr>
      </w:pPr>
    </w:p>
    <w:p>
      <w:pPr>
        <w:spacing w:line="1000" w:lineRule="exact"/>
        <w:jc w:val="center"/>
        <w:rPr>
          <w:rFonts w:ascii="宋体" w:hAnsi="宋体" w:eastAsia="宋体" w:cs="宋体"/>
          <w:color w:val="auto"/>
          <w:sz w:val="96"/>
          <w:szCs w:val="96"/>
          <w:highlight w:val="none"/>
        </w:rPr>
      </w:pPr>
    </w:p>
    <w:p>
      <w:pPr>
        <w:spacing w:line="1000" w:lineRule="exact"/>
        <w:jc w:val="center"/>
        <w:rPr>
          <w:rFonts w:ascii="宋体" w:hAnsi="宋体" w:eastAsia="宋体" w:cs="宋体"/>
          <w:color w:val="auto"/>
          <w:sz w:val="96"/>
          <w:szCs w:val="96"/>
          <w:highlight w:val="none"/>
        </w:rPr>
      </w:pPr>
    </w:p>
    <w:p>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pPr>
        <w:pStyle w:val="24"/>
        <w:spacing w:after="120" w:line="500" w:lineRule="exact"/>
        <w:outlineLvl w:val="9"/>
        <w:rPr>
          <w:rStyle w:val="25"/>
          <w:rFonts w:ascii="宋体" w:hAnsi="宋体" w:cs="宋体"/>
          <w:b/>
          <w:bCs/>
          <w:color w:val="auto"/>
          <w:sz w:val="44"/>
          <w:szCs w:val="44"/>
          <w:highlight w:val="none"/>
        </w:rPr>
      </w:pPr>
    </w:p>
    <w:p>
      <w:pPr>
        <w:pStyle w:val="24"/>
        <w:spacing w:after="120" w:line="500" w:lineRule="exact"/>
        <w:jc w:val="center"/>
        <w:outlineLvl w:val="9"/>
        <w:rPr>
          <w:rStyle w:val="25"/>
          <w:rFonts w:ascii="宋体" w:hAnsi="宋体" w:cs="宋体"/>
          <w:b/>
          <w:bCs/>
          <w:color w:val="auto"/>
          <w:sz w:val="44"/>
          <w:szCs w:val="44"/>
          <w:highlight w:val="none"/>
        </w:rPr>
      </w:pPr>
      <w:r>
        <w:rPr>
          <w:rStyle w:val="25"/>
          <w:rFonts w:hint="eastAsia" w:hAnsi="宋体" w:cs="宋体"/>
          <w:b/>
          <w:bCs/>
          <w:color w:val="auto"/>
          <w:sz w:val="44"/>
          <w:szCs w:val="44"/>
          <w:highlight w:val="none"/>
        </w:rPr>
        <w:t>（第二部分</w:t>
      </w:r>
      <w:r>
        <w:rPr>
          <w:rStyle w:val="25"/>
          <w:rFonts w:hAnsi="宋体" w:cs="宋体"/>
          <w:b/>
          <w:bCs/>
          <w:color w:val="auto"/>
          <w:sz w:val="44"/>
          <w:szCs w:val="44"/>
          <w:highlight w:val="none"/>
        </w:rPr>
        <w:t xml:space="preserve">  </w:t>
      </w:r>
      <w:r>
        <w:rPr>
          <w:rStyle w:val="25"/>
          <w:rFonts w:hint="eastAsia" w:hAnsi="宋体" w:cs="宋体"/>
          <w:b/>
          <w:bCs/>
          <w:color w:val="auto"/>
          <w:sz w:val="44"/>
          <w:szCs w:val="44"/>
          <w:highlight w:val="none"/>
        </w:rPr>
        <w:t>报价部分）</w:t>
      </w:r>
    </w:p>
    <w:p>
      <w:pPr>
        <w:spacing w:line="1000" w:lineRule="exact"/>
        <w:ind w:firstLine="1920" w:firstLineChars="200"/>
        <w:jc w:val="left"/>
        <w:rPr>
          <w:rFonts w:ascii="宋体" w:hAnsi="宋体" w:cs="宋体"/>
          <w:color w:val="auto"/>
          <w:sz w:val="96"/>
          <w:szCs w:val="96"/>
          <w:highlight w:val="none"/>
        </w:rPr>
      </w:pPr>
    </w:p>
    <w:p>
      <w:pPr>
        <w:spacing w:line="1000" w:lineRule="exact"/>
        <w:ind w:firstLine="1920" w:firstLineChars="200"/>
        <w:jc w:val="left"/>
        <w:rPr>
          <w:rFonts w:ascii="宋体" w:hAnsi="宋体" w:cs="宋体"/>
          <w:color w:val="auto"/>
          <w:sz w:val="96"/>
          <w:szCs w:val="96"/>
          <w:highlight w:val="none"/>
        </w:rPr>
      </w:pPr>
    </w:p>
    <w:p>
      <w:pPr>
        <w:pStyle w:val="4"/>
        <w:rPr>
          <w:rFonts w:cs="宋体"/>
          <w:color w:val="auto"/>
          <w:highlight w:val="none"/>
        </w:rPr>
      </w:pPr>
    </w:p>
    <w:p>
      <w:pPr>
        <w:spacing w:line="1000" w:lineRule="exact"/>
        <w:ind w:firstLine="1920" w:firstLineChars="200"/>
        <w:jc w:val="left"/>
        <w:rPr>
          <w:rFonts w:ascii="宋体" w:hAnsi="宋体" w:cs="宋体"/>
          <w:color w:val="auto"/>
          <w:sz w:val="96"/>
          <w:szCs w:val="96"/>
          <w:highlight w:val="none"/>
        </w:rPr>
      </w:pPr>
    </w:p>
    <w:p>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pPr>
        <w:pStyle w:val="11"/>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pPr>
        <w:spacing w:line="360" w:lineRule="auto"/>
        <w:ind w:firstLine="148" w:firstLineChars="49"/>
        <w:rPr>
          <w:rFonts w:ascii="宋体" w:hAnsi="宋体" w:cs="宋体"/>
          <w:color w:val="auto"/>
          <w:highlight w:val="none"/>
        </w:rPr>
      </w:pPr>
      <w:r>
        <w:rPr>
          <w:rFonts w:ascii="宋体" w:hAnsi="宋体" w:cs="宋体"/>
          <w:b/>
          <w:color w:val="auto"/>
          <w:sz w:val="30"/>
          <w:highlight w:val="none"/>
        </w:rPr>
        <w:t xml:space="preserve">    地址：</w:t>
      </w:r>
    </w:p>
    <w:p>
      <w:pPr>
        <w:rPr>
          <w:rFonts w:ascii="宋体" w:hAnsi="宋体" w:cs="宋体"/>
          <w:color w:val="auto"/>
          <w:highlight w:val="none"/>
        </w:rPr>
      </w:pPr>
    </w:p>
    <w:p>
      <w:pPr>
        <w:pStyle w:val="9"/>
        <w:rPr>
          <w:rFonts w:ascii="宋体" w:hAnsi="宋体" w:cs="宋体"/>
          <w:color w:val="auto"/>
          <w:highlight w:val="none"/>
        </w:rPr>
      </w:pPr>
    </w:p>
    <w:p>
      <w:pPr>
        <w:pStyle w:val="5"/>
        <w:keepNext w:val="0"/>
        <w:keepLines w:val="0"/>
        <w:jc w:val="center"/>
        <w:rPr>
          <w:rFonts w:hint="default" w:cs="宋体"/>
          <w:color w:val="auto"/>
          <w:highlight w:val="none"/>
        </w:rPr>
      </w:pPr>
    </w:p>
    <w:p>
      <w:pPr>
        <w:rPr>
          <w:rFonts w:ascii="宋体" w:hAnsi="宋体" w:cs="宋体"/>
          <w:color w:val="auto"/>
          <w:highlight w:val="none"/>
        </w:rPr>
      </w:pPr>
    </w:p>
    <w:p>
      <w:pPr>
        <w:pStyle w:val="5"/>
        <w:keepNext w:val="0"/>
        <w:keepLines w:val="0"/>
        <w:jc w:val="center"/>
        <w:rPr>
          <w:rFonts w:hint="default" w:cs="宋体"/>
          <w:color w:val="auto"/>
          <w:highlight w:val="none"/>
        </w:rPr>
      </w:pPr>
      <w:r>
        <w:rPr>
          <w:rFonts w:hint="default" w:cs="宋体"/>
          <w:color w:val="auto"/>
          <w:kern w:val="44"/>
          <w:sz w:val="32"/>
          <w:szCs w:val="32"/>
          <w:highlight w:val="none"/>
        </w:rPr>
        <w:t>1、报价一览表</w:t>
      </w:r>
    </w:p>
    <w:p>
      <w:pPr>
        <w:pStyle w:val="4"/>
        <w:rPr>
          <w:rFonts w:cs="宋体"/>
          <w:color w:val="auto"/>
          <w:sz w:val="24"/>
          <w:szCs w:val="24"/>
          <w:highlight w:val="none"/>
        </w:rPr>
      </w:pPr>
      <w:r>
        <w:rPr>
          <w:rFonts w:hint="eastAsia" w:cs="宋体"/>
          <w:color w:val="auto"/>
          <w:kern w:val="0"/>
          <w:sz w:val="24"/>
          <w:szCs w:val="24"/>
          <w:highlight w:val="none"/>
        </w:rPr>
        <w:t>项目编号：</w:t>
      </w:r>
      <w:r>
        <w:rPr>
          <w:rFonts w:cs="宋体"/>
          <w:color w:val="auto"/>
          <w:kern w:val="0"/>
          <w:sz w:val="24"/>
          <w:szCs w:val="24"/>
          <w:highlight w:val="none"/>
        </w:rPr>
        <w:t xml:space="preserve">    </w:t>
      </w:r>
    </w:p>
    <w:p>
      <w:pPr>
        <w:pStyle w:val="4"/>
        <w:jc w:val="both"/>
        <w:rPr>
          <w:rFonts w:cs="宋体"/>
          <w:color w:val="auto"/>
          <w:sz w:val="24"/>
          <w:highlight w:val="none"/>
        </w:rPr>
      </w:pPr>
      <w:r>
        <w:rPr>
          <w:rFonts w:hint="eastAsia" w:cs="宋体"/>
          <w:color w:val="auto"/>
          <w:kern w:val="0"/>
          <w:sz w:val="24"/>
          <w:szCs w:val="24"/>
          <w:highlight w:val="none"/>
        </w:rPr>
        <w:t>项目名称</w:t>
      </w:r>
      <w:r>
        <w:rPr>
          <w:rFonts w:cs="宋体"/>
          <w:color w:val="auto"/>
          <w:kern w:val="0"/>
          <w:sz w:val="24"/>
          <w:szCs w:val="24"/>
          <w:highlight w:val="none"/>
        </w:rPr>
        <w:t xml:space="preserve">: </w:t>
      </w:r>
    </w:p>
    <w:p>
      <w:pPr>
        <w:pStyle w:val="26"/>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金额单位：人民币元</w:t>
      </w:r>
    </w:p>
    <w:tbl>
      <w:tblPr>
        <w:tblStyle w:val="20"/>
        <w:tblW w:w="534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9"/>
        <w:gridCol w:w="965"/>
        <w:gridCol w:w="2937"/>
        <w:gridCol w:w="997"/>
        <w:gridCol w:w="1615"/>
        <w:gridCol w:w="2258"/>
        <w:gridCol w:w="9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noWrap/>
          </w:tcPr>
          <w:p>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452" w:type="pct"/>
            <w:noWrap/>
            <w:vAlign w:val="center"/>
          </w:tcPr>
          <w:p>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1377" w:type="pct"/>
            <w:noWrap/>
          </w:tcPr>
          <w:p>
            <w:pPr>
              <w:pStyle w:val="28"/>
              <w:widowControl w:val="0"/>
              <w:spacing w:line="360" w:lineRule="auto"/>
              <w:jc w:val="center"/>
              <w:rPr>
                <w:rFonts w:hint="default" w:ascii="宋体" w:hAnsi="宋体" w:cs="宋体"/>
                <w:color w:val="auto"/>
                <w:kern w:val="0"/>
                <w:sz w:val="24"/>
                <w:szCs w:val="24"/>
                <w:highlight w:val="none"/>
              </w:rPr>
            </w:pPr>
            <w:r>
              <w:rPr>
                <w:rFonts w:hint="eastAsia" w:ascii="宋体" w:hAnsi="宋体" w:cs="宋体"/>
                <w:b w:val="0"/>
                <w:bCs w:val="0"/>
                <w:color w:val="auto"/>
                <w:sz w:val="24"/>
                <w:szCs w:val="24"/>
                <w:highlight w:val="none"/>
                <w:lang w:val="en-US" w:eastAsia="zh-CN"/>
              </w:rPr>
              <w:t>货物</w:t>
            </w:r>
            <w:r>
              <w:rPr>
                <w:rFonts w:ascii="宋体" w:hAnsi="宋体" w:cs="宋体"/>
                <w:b w:val="0"/>
                <w:bCs w:val="0"/>
                <w:color w:val="auto"/>
                <w:sz w:val="24"/>
                <w:szCs w:val="24"/>
                <w:highlight w:val="none"/>
              </w:rPr>
              <w:t>名称</w:t>
            </w:r>
          </w:p>
        </w:tc>
        <w:tc>
          <w:tcPr>
            <w:tcW w:w="467" w:type="pct"/>
            <w:noWrap/>
          </w:tcPr>
          <w:p>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数量</w:t>
            </w:r>
          </w:p>
        </w:tc>
        <w:tc>
          <w:tcPr>
            <w:tcW w:w="757" w:type="pct"/>
            <w:noWrap/>
          </w:tcPr>
          <w:p>
            <w:pPr>
              <w:pStyle w:val="28"/>
              <w:widowControl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单位</w:t>
            </w:r>
          </w:p>
        </w:tc>
        <w:tc>
          <w:tcPr>
            <w:tcW w:w="1059" w:type="pct"/>
            <w:noWrap/>
          </w:tcPr>
          <w:p>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单价</w:t>
            </w:r>
          </w:p>
        </w:tc>
        <w:tc>
          <w:tcPr>
            <w:tcW w:w="439" w:type="pct"/>
            <w:noWrap/>
          </w:tcPr>
          <w:p>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restart"/>
            <w:noWrap/>
            <w:vAlign w:val="center"/>
          </w:tcPr>
          <w:p>
            <w:pPr>
              <w:pStyle w:val="28"/>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工业单冷机主机</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冷却塔</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分支供水/回水管</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1-4</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主循环管</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745</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1-5</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循环泵</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1-6</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冷凝水管</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384</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1-7</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冷却塔电箱</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1-8</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内外机</w:t>
            </w:r>
            <w:r>
              <w:rPr>
                <w:rFonts w:hint="eastAsia" w:asciiTheme="minorEastAsia" w:hAnsiTheme="minorEastAsia" w:eastAsiaTheme="minorEastAsia" w:cstheme="minorEastAsia"/>
                <w:color w:val="auto"/>
                <w:kern w:val="0"/>
                <w:sz w:val="24"/>
                <w:szCs w:val="24"/>
                <w:highlight w:val="none"/>
                <w:lang w:bidi="ar"/>
              </w:rPr>
              <w:t>电源线</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1050</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1-9</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水塔开关</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1-10</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水泵开关</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1-11</w:t>
            </w:r>
          </w:p>
        </w:tc>
        <w:tc>
          <w:tcPr>
            <w:tcW w:w="1377"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主机开关</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vMerge w:val="continue"/>
            <w:noWrap/>
          </w:tcPr>
          <w:p>
            <w:pPr>
              <w:pStyle w:val="28"/>
              <w:widowControl w:val="0"/>
              <w:spacing w:line="360" w:lineRule="auto"/>
              <w:jc w:val="both"/>
              <w:rPr>
                <w:rFonts w:hint="default" w:ascii="宋体" w:hAnsi="宋体" w:cs="宋体"/>
                <w:b w:val="0"/>
                <w:bCs w:val="0"/>
                <w:color w:val="auto"/>
                <w:sz w:val="24"/>
                <w:szCs w:val="24"/>
                <w:highlight w:val="none"/>
              </w:rPr>
            </w:pPr>
          </w:p>
        </w:tc>
        <w:tc>
          <w:tcPr>
            <w:tcW w:w="452"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1-12</w:t>
            </w:r>
          </w:p>
        </w:tc>
        <w:tc>
          <w:tcPr>
            <w:tcW w:w="1377" w:type="pc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辅材</w:t>
            </w:r>
          </w:p>
        </w:tc>
        <w:tc>
          <w:tcPr>
            <w:tcW w:w="46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757" w:type="pct"/>
            <w:noWrap/>
            <w:vAlign w:val="center"/>
          </w:tcPr>
          <w:p>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pPr>
              <w:spacing w:line="360" w:lineRule="auto"/>
              <w:rPr>
                <w:rFonts w:ascii="宋体" w:hAnsi="宋体" w:cs="宋体"/>
                <w:color w:val="auto"/>
                <w:sz w:val="24"/>
                <w:highlight w:val="none"/>
              </w:rPr>
            </w:pPr>
          </w:p>
        </w:tc>
        <w:tc>
          <w:tcPr>
            <w:tcW w:w="439" w:type="pct"/>
            <w:noWrap/>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2" w:hRule="atLeast"/>
        </w:trPr>
        <w:tc>
          <w:tcPr>
            <w:tcW w:w="5000" w:type="pct"/>
            <w:gridSpan w:val="7"/>
            <w:noWrap/>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响应总价：大写：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（小写：</w:t>
            </w:r>
            <w:r>
              <w:rPr>
                <w:rFonts w:hint="default" w:ascii="Arial" w:hAnsi="Arial" w:cs="Arial"/>
                <w:color w:val="auto"/>
                <w:sz w:val="24"/>
                <w:highlight w:val="none"/>
                <w:u w:val="single"/>
                <w:lang w:val="en-US"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p>
        </w:tc>
      </w:tr>
    </w:tbl>
    <w:p>
      <w:pPr>
        <w:pStyle w:val="26"/>
        <w:ind w:firstLine="6240" w:firstLineChars="2600"/>
        <w:rPr>
          <w:rFonts w:hint="eastAsia" w:ascii="宋体" w:hAnsi="宋体" w:cs="宋体"/>
          <w:color w:val="auto"/>
          <w:sz w:val="24"/>
          <w:highlight w:val="none"/>
        </w:rPr>
      </w:pPr>
    </w:p>
    <w:p>
      <w:pPr>
        <w:pStyle w:val="26"/>
        <w:ind w:firstLine="6240" w:firstLineChars="2600"/>
        <w:rPr>
          <w:rFonts w:ascii="宋体" w:hAnsi="宋体" w:cs="宋体"/>
          <w:color w:val="auto"/>
          <w:sz w:val="24"/>
          <w:highlight w:val="none"/>
        </w:rPr>
      </w:pPr>
    </w:p>
    <w:p>
      <w:pPr>
        <w:pStyle w:val="26"/>
        <w:ind w:firstLine="6240" w:firstLineChars="2600"/>
        <w:rPr>
          <w:rFonts w:ascii="宋体" w:hAnsi="宋体" w:cs="宋体"/>
          <w:color w:val="auto"/>
          <w:sz w:val="24"/>
          <w:highlight w:val="none"/>
        </w:rPr>
      </w:pPr>
    </w:p>
    <w:p>
      <w:pPr>
        <w:pStyle w:val="26"/>
        <w:ind w:firstLine="6240" w:firstLineChars="2600"/>
        <w:rPr>
          <w:rFonts w:ascii="宋体" w:hAnsi="宋体" w:cs="宋体"/>
          <w:color w:val="auto"/>
          <w:sz w:val="24"/>
          <w:highlight w:val="none"/>
        </w:rPr>
      </w:pPr>
    </w:p>
    <w:p>
      <w:pPr>
        <w:pStyle w:val="16"/>
        <w:spacing w:before="75" w:beforeAutospacing="0" w:after="75" w:afterAutospacing="0"/>
        <w:rPr>
          <w:color w:val="auto"/>
          <w:sz w:val="28"/>
          <w:szCs w:val="28"/>
          <w:highlight w:val="none"/>
        </w:rPr>
      </w:pPr>
    </w:p>
    <w:p>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供应商（全称并加盖公章）：</w:t>
      </w:r>
    </w:p>
    <w:p>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供应商代表签字：</w:t>
      </w:r>
    </w:p>
    <w:p>
      <w:pPr>
        <w:spacing w:line="360" w:lineRule="auto"/>
        <w:ind w:firstLine="4680" w:firstLineChars="1950"/>
        <w:rPr>
          <w:rFonts w:ascii="宋体" w:hAnsi="宋体" w:cs="宋体"/>
          <w:color w:val="auto"/>
          <w:highlight w:val="none"/>
        </w:rPr>
      </w:pPr>
      <w:r>
        <w:rPr>
          <w:rFonts w:hint="eastAsia" w:ascii="宋体" w:hAnsi="宋体" w:cs="宋体"/>
          <w:color w:val="auto"/>
          <w:sz w:val="24"/>
          <w:highlight w:val="none"/>
        </w:rPr>
        <w:t>日期：</w:t>
      </w:r>
    </w:p>
    <w:p>
      <w:pPr>
        <w:rPr>
          <w:rFonts w:ascii="宋体" w:hAnsi="宋体" w:cs="宋体"/>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8F2A1"/>
    <w:multiLevelType w:val="singleLevel"/>
    <w:tmpl w:val="9678F2A1"/>
    <w:lvl w:ilvl="0" w:tentative="0">
      <w:start w:val="3"/>
      <w:numFmt w:val="chineseCounting"/>
      <w:suff w:val="nothing"/>
      <w:lvlText w:val="%1、"/>
      <w:lvlJc w:val="left"/>
      <w:rPr>
        <w:rFonts w:hint="eastAsia"/>
      </w:rPr>
    </w:lvl>
  </w:abstractNum>
  <w:abstractNum w:abstractNumId="1">
    <w:nsid w:val="BFECA264"/>
    <w:multiLevelType w:val="singleLevel"/>
    <w:tmpl w:val="BFECA264"/>
    <w:lvl w:ilvl="0" w:tentative="0">
      <w:start w:val="2"/>
      <w:numFmt w:val="chineseCounting"/>
      <w:suff w:val="nothing"/>
      <w:lvlText w:val="%1、"/>
      <w:lvlJc w:val="left"/>
      <w:rPr>
        <w:rFonts w:hint="eastAsia"/>
      </w:rPr>
    </w:lvl>
  </w:abstractNum>
  <w:abstractNum w:abstractNumId="2">
    <w:nsid w:val="276F56EA"/>
    <w:multiLevelType w:val="singleLevel"/>
    <w:tmpl w:val="276F56EA"/>
    <w:lvl w:ilvl="0" w:tentative="0">
      <w:start w:val="1"/>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6B7B8FBE"/>
    <w:multiLevelType w:val="singleLevel"/>
    <w:tmpl w:val="6B7B8FBE"/>
    <w:lvl w:ilvl="0" w:tentative="0">
      <w:start w:val="3"/>
      <w:numFmt w:val="decimal"/>
      <w:suff w:val="nothing"/>
      <w:lvlText w:val="（%1）"/>
      <w:lvlJc w:val="left"/>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YzU2MTU5MjA1NjA3NmQwZGE4OGIwNDU5MzM2NWMifQ=="/>
  </w:docVars>
  <w:rsids>
    <w:rsidRoot w:val="03B927C8"/>
    <w:rsid w:val="00010F40"/>
    <w:rsid w:val="0002479A"/>
    <w:rsid w:val="00043144"/>
    <w:rsid w:val="0005487C"/>
    <w:rsid w:val="00237A6E"/>
    <w:rsid w:val="002B4331"/>
    <w:rsid w:val="002C4409"/>
    <w:rsid w:val="002D63C4"/>
    <w:rsid w:val="003C6D90"/>
    <w:rsid w:val="004A5F5E"/>
    <w:rsid w:val="0055344B"/>
    <w:rsid w:val="00556152"/>
    <w:rsid w:val="005965AC"/>
    <w:rsid w:val="00597715"/>
    <w:rsid w:val="005C1282"/>
    <w:rsid w:val="00641722"/>
    <w:rsid w:val="00866EDD"/>
    <w:rsid w:val="00884C5F"/>
    <w:rsid w:val="008B0431"/>
    <w:rsid w:val="008F774E"/>
    <w:rsid w:val="0097640B"/>
    <w:rsid w:val="009944C0"/>
    <w:rsid w:val="00994B69"/>
    <w:rsid w:val="00B81E16"/>
    <w:rsid w:val="00B87CB4"/>
    <w:rsid w:val="00C1186E"/>
    <w:rsid w:val="00D26950"/>
    <w:rsid w:val="00D50AF9"/>
    <w:rsid w:val="00DA49EE"/>
    <w:rsid w:val="00EB58E9"/>
    <w:rsid w:val="00FF3F0D"/>
    <w:rsid w:val="013B26D0"/>
    <w:rsid w:val="0164489E"/>
    <w:rsid w:val="01F36FCC"/>
    <w:rsid w:val="01FC30C8"/>
    <w:rsid w:val="0227311A"/>
    <w:rsid w:val="0327588C"/>
    <w:rsid w:val="03282AB0"/>
    <w:rsid w:val="03404493"/>
    <w:rsid w:val="03B927C8"/>
    <w:rsid w:val="03F86B1C"/>
    <w:rsid w:val="03FB660C"/>
    <w:rsid w:val="0442423B"/>
    <w:rsid w:val="046405A2"/>
    <w:rsid w:val="06067491"/>
    <w:rsid w:val="062A142B"/>
    <w:rsid w:val="06420522"/>
    <w:rsid w:val="06982838"/>
    <w:rsid w:val="073A38EF"/>
    <w:rsid w:val="07792219"/>
    <w:rsid w:val="080F23E2"/>
    <w:rsid w:val="089963F4"/>
    <w:rsid w:val="08B40917"/>
    <w:rsid w:val="08BD590D"/>
    <w:rsid w:val="08D964DF"/>
    <w:rsid w:val="09C63E50"/>
    <w:rsid w:val="09C828C8"/>
    <w:rsid w:val="0A2166A1"/>
    <w:rsid w:val="0A5922DF"/>
    <w:rsid w:val="0A904FF6"/>
    <w:rsid w:val="0AC361A9"/>
    <w:rsid w:val="0ADA51CD"/>
    <w:rsid w:val="0B470389"/>
    <w:rsid w:val="0B484567"/>
    <w:rsid w:val="0B4C7D11"/>
    <w:rsid w:val="0B785C4C"/>
    <w:rsid w:val="0B7C1C87"/>
    <w:rsid w:val="0BB73761"/>
    <w:rsid w:val="0D3A01A5"/>
    <w:rsid w:val="0D3C216F"/>
    <w:rsid w:val="0D685E16"/>
    <w:rsid w:val="0DBE2B84"/>
    <w:rsid w:val="0DCE79C2"/>
    <w:rsid w:val="0DE925D2"/>
    <w:rsid w:val="0E420E7A"/>
    <w:rsid w:val="0E5232CD"/>
    <w:rsid w:val="0E6F0323"/>
    <w:rsid w:val="0E984FCC"/>
    <w:rsid w:val="0F251F84"/>
    <w:rsid w:val="0F333192"/>
    <w:rsid w:val="100D4620"/>
    <w:rsid w:val="105C4205"/>
    <w:rsid w:val="10CC55B8"/>
    <w:rsid w:val="11276AC0"/>
    <w:rsid w:val="11E56DCA"/>
    <w:rsid w:val="12461970"/>
    <w:rsid w:val="12481B0C"/>
    <w:rsid w:val="12575356"/>
    <w:rsid w:val="12EF7D74"/>
    <w:rsid w:val="14495172"/>
    <w:rsid w:val="14951FC2"/>
    <w:rsid w:val="14AF1E0A"/>
    <w:rsid w:val="1534595B"/>
    <w:rsid w:val="16AE40A5"/>
    <w:rsid w:val="17C52ADF"/>
    <w:rsid w:val="17C92852"/>
    <w:rsid w:val="182757CA"/>
    <w:rsid w:val="18DA548D"/>
    <w:rsid w:val="1A626F8D"/>
    <w:rsid w:val="1AA255DC"/>
    <w:rsid w:val="1ACB4B33"/>
    <w:rsid w:val="1B302BE8"/>
    <w:rsid w:val="1BD461F0"/>
    <w:rsid w:val="1C316942"/>
    <w:rsid w:val="1C7136C6"/>
    <w:rsid w:val="1D100588"/>
    <w:rsid w:val="1D2204E8"/>
    <w:rsid w:val="1D383FD6"/>
    <w:rsid w:val="1D436C02"/>
    <w:rsid w:val="1DE1641B"/>
    <w:rsid w:val="1E335B7B"/>
    <w:rsid w:val="1E927B9A"/>
    <w:rsid w:val="1F3A674D"/>
    <w:rsid w:val="1FC57DA2"/>
    <w:rsid w:val="204B113F"/>
    <w:rsid w:val="20D14525"/>
    <w:rsid w:val="2105780A"/>
    <w:rsid w:val="21263D05"/>
    <w:rsid w:val="212705E9"/>
    <w:rsid w:val="2174634E"/>
    <w:rsid w:val="21A34113"/>
    <w:rsid w:val="224D22D1"/>
    <w:rsid w:val="228D0920"/>
    <w:rsid w:val="22D938F2"/>
    <w:rsid w:val="230E3506"/>
    <w:rsid w:val="23500832"/>
    <w:rsid w:val="235D02F2"/>
    <w:rsid w:val="23C14D25"/>
    <w:rsid w:val="23F06802"/>
    <w:rsid w:val="240B41F2"/>
    <w:rsid w:val="25094084"/>
    <w:rsid w:val="253D2784"/>
    <w:rsid w:val="265E685B"/>
    <w:rsid w:val="26D20FF7"/>
    <w:rsid w:val="276C29CD"/>
    <w:rsid w:val="27B57773"/>
    <w:rsid w:val="282E04AF"/>
    <w:rsid w:val="284D6B87"/>
    <w:rsid w:val="285223EF"/>
    <w:rsid w:val="28553C8E"/>
    <w:rsid w:val="295A5086"/>
    <w:rsid w:val="29C27101"/>
    <w:rsid w:val="29CE019B"/>
    <w:rsid w:val="2AD03A9F"/>
    <w:rsid w:val="2B2B2312"/>
    <w:rsid w:val="2CFB12A7"/>
    <w:rsid w:val="2D626FA9"/>
    <w:rsid w:val="2D766B80"/>
    <w:rsid w:val="2D7F25E8"/>
    <w:rsid w:val="2DCA6ECC"/>
    <w:rsid w:val="2E9A064C"/>
    <w:rsid w:val="2ECE479A"/>
    <w:rsid w:val="2F0B32F8"/>
    <w:rsid w:val="2F691228"/>
    <w:rsid w:val="30760C45"/>
    <w:rsid w:val="3101171E"/>
    <w:rsid w:val="31CC3212"/>
    <w:rsid w:val="31EE1C44"/>
    <w:rsid w:val="32236BAB"/>
    <w:rsid w:val="32D36FE9"/>
    <w:rsid w:val="33022C64"/>
    <w:rsid w:val="330D3AE3"/>
    <w:rsid w:val="33835B53"/>
    <w:rsid w:val="33E34843"/>
    <w:rsid w:val="33E660E2"/>
    <w:rsid w:val="35373099"/>
    <w:rsid w:val="35952464"/>
    <w:rsid w:val="360C62D3"/>
    <w:rsid w:val="372B518A"/>
    <w:rsid w:val="37814AE6"/>
    <w:rsid w:val="37A26F8B"/>
    <w:rsid w:val="37BB2F91"/>
    <w:rsid w:val="37FF59C4"/>
    <w:rsid w:val="38065AD7"/>
    <w:rsid w:val="38174ABC"/>
    <w:rsid w:val="38206066"/>
    <w:rsid w:val="38275D82"/>
    <w:rsid w:val="38910D12"/>
    <w:rsid w:val="38A26A7B"/>
    <w:rsid w:val="38C764E2"/>
    <w:rsid w:val="390B0AC4"/>
    <w:rsid w:val="39221756"/>
    <w:rsid w:val="39362D06"/>
    <w:rsid w:val="3AD23CF8"/>
    <w:rsid w:val="3B2B6956"/>
    <w:rsid w:val="3B4F3E2F"/>
    <w:rsid w:val="3B950CA4"/>
    <w:rsid w:val="3B98312C"/>
    <w:rsid w:val="3BF21AC7"/>
    <w:rsid w:val="3C642299"/>
    <w:rsid w:val="3CBC3E83"/>
    <w:rsid w:val="3CCA65A0"/>
    <w:rsid w:val="3D1C4922"/>
    <w:rsid w:val="3D485717"/>
    <w:rsid w:val="3D6861F2"/>
    <w:rsid w:val="3D7C4522"/>
    <w:rsid w:val="3D8C7DBB"/>
    <w:rsid w:val="3DC27C46"/>
    <w:rsid w:val="3E614CE2"/>
    <w:rsid w:val="3EDC25BB"/>
    <w:rsid w:val="3EDF3E59"/>
    <w:rsid w:val="3F302AA8"/>
    <w:rsid w:val="3FCE2457"/>
    <w:rsid w:val="3FDD65EB"/>
    <w:rsid w:val="3FF81676"/>
    <w:rsid w:val="403703F1"/>
    <w:rsid w:val="40880C4C"/>
    <w:rsid w:val="418D4040"/>
    <w:rsid w:val="41C95079"/>
    <w:rsid w:val="421309EA"/>
    <w:rsid w:val="4296004C"/>
    <w:rsid w:val="431C2433"/>
    <w:rsid w:val="434A21E9"/>
    <w:rsid w:val="4387343D"/>
    <w:rsid w:val="43BA1169"/>
    <w:rsid w:val="449A71A0"/>
    <w:rsid w:val="44A4240B"/>
    <w:rsid w:val="44B518E4"/>
    <w:rsid w:val="454E7F14"/>
    <w:rsid w:val="459736E0"/>
    <w:rsid w:val="45A35BE1"/>
    <w:rsid w:val="45B830B4"/>
    <w:rsid w:val="45E24F08"/>
    <w:rsid w:val="46340F2E"/>
    <w:rsid w:val="464602E3"/>
    <w:rsid w:val="464C15D5"/>
    <w:rsid w:val="468227FC"/>
    <w:rsid w:val="46CD13B8"/>
    <w:rsid w:val="473B5B80"/>
    <w:rsid w:val="47504BD7"/>
    <w:rsid w:val="47665118"/>
    <w:rsid w:val="477F442B"/>
    <w:rsid w:val="47DE73A4"/>
    <w:rsid w:val="482C6361"/>
    <w:rsid w:val="48313978"/>
    <w:rsid w:val="486663D8"/>
    <w:rsid w:val="49380D36"/>
    <w:rsid w:val="495D47A0"/>
    <w:rsid w:val="49D15412"/>
    <w:rsid w:val="49F17EE7"/>
    <w:rsid w:val="4A483A3C"/>
    <w:rsid w:val="4AD30D16"/>
    <w:rsid w:val="4AD60806"/>
    <w:rsid w:val="4AF13892"/>
    <w:rsid w:val="4B1325FF"/>
    <w:rsid w:val="4B5160DF"/>
    <w:rsid w:val="4C2A2BB8"/>
    <w:rsid w:val="4C8D619E"/>
    <w:rsid w:val="4CB30DFF"/>
    <w:rsid w:val="4CD6689C"/>
    <w:rsid w:val="4D265A75"/>
    <w:rsid w:val="4DA90454"/>
    <w:rsid w:val="4DC40DEA"/>
    <w:rsid w:val="4DDD056E"/>
    <w:rsid w:val="4DFF1E22"/>
    <w:rsid w:val="4E11401F"/>
    <w:rsid w:val="4EA2112B"/>
    <w:rsid w:val="4ED62A9F"/>
    <w:rsid w:val="4F365D17"/>
    <w:rsid w:val="4F485351"/>
    <w:rsid w:val="502913D8"/>
    <w:rsid w:val="505A00A8"/>
    <w:rsid w:val="509C1BAA"/>
    <w:rsid w:val="50E17C39"/>
    <w:rsid w:val="51404C2B"/>
    <w:rsid w:val="519C4558"/>
    <w:rsid w:val="52417890"/>
    <w:rsid w:val="5246274A"/>
    <w:rsid w:val="5285323E"/>
    <w:rsid w:val="52AF557E"/>
    <w:rsid w:val="52DF4E6C"/>
    <w:rsid w:val="53746E0E"/>
    <w:rsid w:val="539143DC"/>
    <w:rsid w:val="54290704"/>
    <w:rsid w:val="54816FAC"/>
    <w:rsid w:val="54C47921"/>
    <w:rsid w:val="553625CD"/>
    <w:rsid w:val="55562C6F"/>
    <w:rsid w:val="55985036"/>
    <w:rsid w:val="55CB540B"/>
    <w:rsid w:val="5661367A"/>
    <w:rsid w:val="568D48D7"/>
    <w:rsid w:val="56CD51B3"/>
    <w:rsid w:val="56E54FD1"/>
    <w:rsid w:val="56F13341"/>
    <w:rsid w:val="57AD20B7"/>
    <w:rsid w:val="57BB500C"/>
    <w:rsid w:val="584F077A"/>
    <w:rsid w:val="588B458F"/>
    <w:rsid w:val="5967369D"/>
    <w:rsid w:val="59C52172"/>
    <w:rsid w:val="59D95C1D"/>
    <w:rsid w:val="5A134EEC"/>
    <w:rsid w:val="5AB521E6"/>
    <w:rsid w:val="5B4A6DD2"/>
    <w:rsid w:val="5B8A71CF"/>
    <w:rsid w:val="5C4B6C06"/>
    <w:rsid w:val="5D5F6439"/>
    <w:rsid w:val="5D641CA2"/>
    <w:rsid w:val="5DDC3F2E"/>
    <w:rsid w:val="5E7A79CF"/>
    <w:rsid w:val="5FEB66AA"/>
    <w:rsid w:val="60695F4D"/>
    <w:rsid w:val="61306A6A"/>
    <w:rsid w:val="61A15272"/>
    <w:rsid w:val="61E57855"/>
    <w:rsid w:val="62A52B40"/>
    <w:rsid w:val="63390B50"/>
    <w:rsid w:val="638C3D00"/>
    <w:rsid w:val="64A84B6A"/>
    <w:rsid w:val="64D769E6"/>
    <w:rsid w:val="652F7039"/>
    <w:rsid w:val="658E0024"/>
    <w:rsid w:val="65990FBC"/>
    <w:rsid w:val="65F53DDF"/>
    <w:rsid w:val="65FF29DA"/>
    <w:rsid w:val="66240220"/>
    <w:rsid w:val="66DD3DBF"/>
    <w:rsid w:val="66EE5755"/>
    <w:rsid w:val="670449A7"/>
    <w:rsid w:val="67364083"/>
    <w:rsid w:val="67A03A21"/>
    <w:rsid w:val="67D40DA3"/>
    <w:rsid w:val="67D43076"/>
    <w:rsid w:val="681A1725"/>
    <w:rsid w:val="6865349E"/>
    <w:rsid w:val="68BC0BE4"/>
    <w:rsid w:val="68F4037D"/>
    <w:rsid w:val="694F068B"/>
    <w:rsid w:val="6A9260A0"/>
    <w:rsid w:val="6AA75CB4"/>
    <w:rsid w:val="6AD82F18"/>
    <w:rsid w:val="6C0C6E6C"/>
    <w:rsid w:val="6C272288"/>
    <w:rsid w:val="6C791CDF"/>
    <w:rsid w:val="6CBD7D2C"/>
    <w:rsid w:val="6E1B63AC"/>
    <w:rsid w:val="6F347726"/>
    <w:rsid w:val="6F820077"/>
    <w:rsid w:val="701B08E6"/>
    <w:rsid w:val="7020414E"/>
    <w:rsid w:val="70495453"/>
    <w:rsid w:val="705362D1"/>
    <w:rsid w:val="705A715C"/>
    <w:rsid w:val="70DE31AA"/>
    <w:rsid w:val="71233EF6"/>
    <w:rsid w:val="714B0D57"/>
    <w:rsid w:val="716B724F"/>
    <w:rsid w:val="724672DD"/>
    <w:rsid w:val="728A330C"/>
    <w:rsid w:val="728E539F"/>
    <w:rsid w:val="7344414D"/>
    <w:rsid w:val="734819F2"/>
    <w:rsid w:val="73E23F65"/>
    <w:rsid w:val="7452064E"/>
    <w:rsid w:val="747800B5"/>
    <w:rsid w:val="74B45137"/>
    <w:rsid w:val="74BB4445"/>
    <w:rsid w:val="75B051C5"/>
    <w:rsid w:val="769E4E98"/>
    <w:rsid w:val="76AC2297"/>
    <w:rsid w:val="76F4039D"/>
    <w:rsid w:val="778C0452"/>
    <w:rsid w:val="781B2926"/>
    <w:rsid w:val="78434E7D"/>
    <w:rsid w:val="785B3F75"/>
    <w:rsid w:val="78BE4504"/>
    <w:rsid w:val="78C21E6B"/>
    <w:rsid w:val="78E14B9B"/>
    <w:rsid w:val="790D08A5"/>
    <w:rsid w:val="797E7D2E"/>
    <w:rsid w:val="79847713"/>
    <w:rsid w:val="79BF623C"/>
    <w:rsid w:val="79C124FE"/>
    <w:rsid w:val="7A5549F4"/>
    <w:rsid w:val="7A7A2AED"/>
    <w:rsid w:val="7AA634EE"/>
    <w:rsid w:val="7B467395"/>
    <w:rsid w:val="7B641393"/>
    <w:rsid w:val="7B7F3082"/>
    <w:rsid w:val="7B9B0B2D"/>
    <w:rsid w:val="7BC1789D"/>
    <w:rsid w:val="7C4111CA"/>
    <w:rsid w:val="7C9F5FE2"/>
    <w:rsid w:val="7CEA3B1A"/>
    <w:rsid w:val="7DA467B0"/>
    <w:rsid w:val="7DB97715"/>
    <w:rsid w:val="7E474F3D"/>
    <w:rsid w:val="7E513524"/>
    <w:rsid w:val="7EA61CC2"/>
    <w:rsid w:val="7EAD75B3"/>
    <w:rsid w:val="7ED82CDA"/>
    <w:rsid w:val="7F50259B"/>
    <w:rsid w:val="7F5E5495"/>
    <w:rsid w:val="7FAB3A34"/>
    <w:rsid w:val="7FC9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3"/>
    <w:next w:val="1"/>
    <w:unhideWhenUsed/>
    <w:qFormat/>
    <w:uiPriority w:val="9"/>
    <w:pPr>
      <w:keepNext/>
      <w:keepLines/>
      <w:spacing w:before="260" w:after="260" w:line="416" w:lineRule="auto"/>
      <w:outlineLvl w:val="2"/>
    </w:pPr>
    <w:rPr>
      <w:sz w:val="32"/>
      <w:szCs w:val="32"/>
    </w:rPr>
  </w:style>
  <w:style w:type="paragraph" w:styleId="6">
    <w:name w:val="heading 4"/>
    <w:basedOn w:val="1"/>
    <w:next w:val="7"/>
    <w:qFormat/>
    <w:uiPriority w:val="0"/>
    <w:pPr>
      <w:keepNext/>
      <w:keepLines/>
      <w:tabs>
        <w:tab w:val="left" w:pos="425"/>
      </w:tabs>
      <w:spacing w:before="360" w:line="240" w:lineRule="exact"/>
      <w:ind w:left="425" w:hanging="425"/>
      <w:outlineLvl w:val="3"/>
    </w:pPr>
    <w:rPr>
      <w:rFonts w:ascii="宋体" w:cs="宋体"/>
      <w:b/>
      <w:sz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next w:val="8"/>
    <w:qFormat/>
    <w:uiPriority w:val="0"/>
    <w:pPr>
      <w:ind w:firstLine="420"/>
    </w:pPr>
    <w:rPr>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annotation text"/>
    <w:basedOn w:val="1"/>
    <w:qFormat/>
    <w:uiPriority w:val="0"/>
    <w:pPr>
      <w:jc w:val="left"/>
    </w:pPr>
  </w:style>
  <w:style w:type="paragraph" w:styleId="11">
    <w:name w:val="Plain Text"/>
    <w:basedOn w:val="1"/>
    <w:qFormat/>
    <w:uiPriority w:val="0"/>
    <w:rPr>
      <w:rFonts w:ascii="宋体" w:hAnsi="Courier New"/>
      <w:kern w:val="0"/>
      <w:sz w:val="20"/>
    </w:rPr>
  </w:style>
  <w:style w:type="paragraph" w:styleId="12">
    <w:name w:val="Balloon Text"/>
    <w:basedOn w:val="1"/>
    <w:link w:val="30"/>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6">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customStyle="1" w:styleId="17">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8">
    <w:name w:val="Body Text First Indent"/>
    <w:basedOn w:val="2"/>
    <w:next w:val="19"/>
    <w:qFormat/>
    <w:uiPriority w:val="0"/>
    <w:pPr>
      <w:ind w:firstLine="420" w:firstLineChars="100"/>
    </w:pPr>
    <w:rPr>
      <w:rFonts w:ascii="Times New Roman" w:hAnsi="Times New Roman"/>
      <w:szCs w:val="20"/>
    </w:rPr>
  </w:style>
  <w:style w:type="paragraph" w:styleId="19">
    <w:name w:val="Body Text First Indent 2"/>
    <w:basedOn w:val="8"/>
    <w:next w:val="1"/>
    <w:qFormat/>
    <w:uiPriority w:val="99"/>
    <w:pPr>
      <w:tabs>
        <w:tab w:val="left" w:pos="4606"/>
      </w:tabs>
      <w:ind w:firstLine="420"/>
    </w:pPr>
  </w:style>
  <w:style w:type="character" w:styleId="22">
    <w:name w:val="Strong"/>
    <w:basedOn w:val="21"/>
    <w:qFormat/>
    <w:uiPriority w:val="0"/>
    <w:rPr>
      <w:b/>
      <w:bCs/>
    </w:rPr>
  </w:style>
  <w:style w:type="paragraph" w:customStyle="1" w:styleId="23">
    <w:name w:val="Fließtext"/>
    <w:basedOn w:val="1"/>
    <w:qFormat/>
    <w:uiPriority w:val="0"/>
    <w:pPr>
      <w:overflowPunct w:val="0"/>
      <w:autoSpaceDE w:val="0"/>
      <w:autoSpaceDN w:val="0"/>
      <w:adjustRightInd w:val="0"/>
      <w:textAlignment w:val="baseline"/>
    </w:pPr>
    <w:rPr>
      <w:kern w:val="28"/>
      <w:szCs w:val="20"/>
    </w:rPr>
  </w:style>
  <w:style w:type="paragraph" w:customStyle="1" w:styleId="24">
    <w:name w:val="样式3"/>
    <w:basedOn w:val="11"/>
    <w:qFormat/>
    <w:uiPriority w:val="0"/>
    <w:pPr>
      <w:spacing w:line="0" w:lineRule="atLeast"/>
      <w:outlineLvl w:val="0"/>
    </w:pPr>
    <w:rPr>
      <w:sz w:val="28"/>
    </w:rPr>
  </w:style>
  <w:style w:type="character" w:customStyle="1" w:styleId="25">
    <w:name w:val="NormalCharacter"/>
    <w:semiHidden/>
    <w:qFormat/>
    <w:uiPriority w:val="0"/>
    <w:rPr>
      <w:kern w:val="2"/>
      <w:sz w:val="21"/>
      <w:szCs w:val="24"/>
      <w:lang w:val="en-US" w:eastAsia="zh-CN" w:bidi="ar-SA"/>
    </w:rPr>
  </w:style>
  <w:style w:type="paragraph" w:customStyle="1" w:styleId="2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converted-space"/>
    <w:qFormat/>
    <w:uiPriority w:val="0"/>
    <w:rPr>
      <w:rFonts w:ascii="Times New Roman" w:hAnsi="Times New Roman" w:eastAsia="宋体" w:cs="Times New Roman"/>
    </w:rPr>
  </w:style>
  <w:style w:type="paragraph" w:customStyle="1" w:styleId="28">
    <w:name w:val="null3"/>
    <w:qFormat/>
    <w:uiPriority w:val="0"/>
    <w:rPr>
      <w:rFonts w:hint="eastAsia" w:ascii="Calibri" w:hAnsi="Calibri" w:eastAsia="宋体" w:cs="Times New Roman"/>
      <w:lang w:val="en-US" w:eastAsia="zh-CN" w:bidi="ar-SA"/>
    </w:rPr>
  </w:style>
  <w:style w:type="character" w:customStyle="1" w:styleId="29">
    <w:name w:val="页眉 Char"/>
    <w:basedOn w:val="21"/>
    <w:link w:val="14"/>
    <w:qFormat/>
    <w:uiPriority w:val="0"/>
    <w:rPr>
      <w:rFonts w:ascii="Calibri" w:hAnsi="Calibri" w:eastAsia="宋体" w:cs="Times New Roman"/>
      <w:kern w:val="2"/>
      <w:sz w:val="18"/>
      <w:szCs w:val="18"/>
    </w:rPr>
  </w:style>
  <w:style w:type="character" w:customStyle="1" w:styleId="30">
    <w:name w:val="批注框文本 Char"/>
    <w:basedOn w:val="21"/>
    <w:link w:val="12"/>
    <w:qFormat/>
    <w:uiPriority w:val="0"/>
    <w:rPr>
      <w:rFonts w:ascii="Calibri" w:hAnsi="Calibri" w:eastAsia="宋体" w:cs="Times New Roman"/>
      <w:kern w:val="2"/>
      <w:sz w:val="18"/>
      <w:szCs w:val="18"/>
    </w:rPr>
  </w:style>
  <w:style w:type="character" w:customStyle="1" w:styleId="31">
    <w:name w:val="font01"/>
    <w:basedOn w:val="21"/>
    <w:qFormat/>
    <w:uiPriority w:val="0"/>
    <w:rPr>
      <w:rFonts w:hint="eastAsia" w:ascii="宋体" w:hAnsi="宋体" w:eastAsia="宋体" w:cs="宋体"/>
      <w:color w:val="000000"/>
      <w:sz w:val="24"/>
      <w:szCs w:val="24"/>
      <w:u w:val="none"/>
    </w:rPr>
  </w:style>
  <w:style w:type="paragraph" w:styleId="32">
    <w:name w:val="List Paragraph"/>
    <w:basedOn w:val="1"/>
    <w:qFormat/>
    <w:uiPriority w:val="99"/>
    <w:pPr>
      <w:ind w:firstLine="420" w:firstLineChars="200"/>
    </w:pPr>
  </w:style>
  <w:style w:type="paragraph" w:customStyle="1" w:styleId="33">
    <w:name w:val="标题 5（有编号）（绿盟科技）"/>
    <w:basedOn w:val="1"/>
    <w:next w:val="34"/>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A85D8-66CA-4D7E-852E-5C4773145F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9865</Words>
  <Characters>10464</Characters>
  <Lines>163</Lines>
  <Paragraphs>45</Paragraphs>
  <TotalTime>0</TotalTime>
  <ScaleCrop>false</ScaleCrop>
  <LinksUpToDate>false</LinksUpToDate>
  <CharactersWithSpaces>10496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2023-09-05T07:25:00Z</dcterms:created>
  <dc:creator>Administrator</dc:creator>
  <cp:lastModifiedBy>秋天的竹园</cp:lastModifiedBy>
  <cp:lastPrinted>2025-11-07T03:54:00Z</cp:lastPrinted>
  <dcterms:modified xsi:type="dcterms:W3CDTF">2026-04-28T01:58:57Z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9B75DDAE02B54C859C9C34430EA4BFA9</vt:lpwstr>
  </property>
  <property fmtid="{D5CDD505-2E9C-101B-9397-08002B2CF9AE}" pid="4" name="KSOTemplateDocerSaveRecord">
    <vt:lpwstr>eyJoZGlkIjoiZjRkZmYwNzYxMGRhYzQzMjkwOTA2OWI3YjNlNzU4NjkiLCJ1c2VySWQiOiI0NDcxMTI1ODQifQ==</vt:lpwstr>
  </property>
</Properties>
</file>