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1DAAB">
      <w:pPr>
        <w:spacing w:line="360" w:lineRule="auto"/>
        <w:rPr>
          <w:rFonts w:ascii="宋体" w:hAnsi="宋体" w:cs="宋体"/>
          <w:b/>
          <w:color w:val="auto"/>
          <w:sz w:val="72"/>
          <w:szCs w:val="72"/>
          <w:highlight w:val="none"/>
        </w:rPr>
      </w:pPr>
      <w:bookmarkStart w:id="9" w:name="_GoBack"/>
      <w:bookmarkEnd w:id="9"/>
    </w:p>
    <w:p w14:paraId="53892A6C">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福建省闽西监狱</w:t>
      </w:r>
    </w:p>
    <w:p w14:paraId="7EF590B5">
      <w:pPr>
        <w:spacing w:line="360" w:lineRule="auto"/>
        <w:jc w:val="center"/>
        <w:rPr>
          <w:rFonts w:ascii="宋体" w:hAnsi="宋体" w:cs="宋体"/>
          <w:b/>
          <w:color w:val="auto"/>
          <w:sz w:val="72"/>
          <w:szCs w:val="72"/>
          <w:highlight w:val="none"/>
        </w:rPr>
      </w:pPr>
      <w:r>
        <w:rPr>
          <w:rFonts w:hint="eastAsia" w:ascii="宋体" w:hAnsi="宋体" w:cs="宋体"/>
          <w:b/>
          <w:color w:val="auto"/>
          <w:sz w:val="52"/>
          <w:szCs w:val="52"/>
          <w:highlight w:val="none"/>
        </w:rPr>
        <w:t>网上竞价文件</w:t>
      </w:r>
    </w:p>
    <w:p w14:paraId="7B1CAA22">
      <w:pPr>
        <w:pStyle w:val="19"/>
        <w:rPr>
          <w:rFonts w:ascii="宋体" w:hAnsi="宋体" w:cs="宋体"/>
          <w:color w:val="auto"/>
          <w:highlight w:val="none"/>
        </w:rPr>
      </w:pPr>
    </w:p>
    <w:p w14:paraId="5BD367A4">
      <w:pPr>
        <w:pStyle w:val="10"/>
        <w:spacing w:line="0" w:lineRule="atLeast"/>
        <w:rPr>
          <w:rFonts w:hAnsi="宋体" w:cs="宋体"/>
          <w:b/>
          <w:color w:val="auto"/>
          <w:sz w:val="32"/>
          <w:highlight w:val="none"/>
        </w:rPr>
      </w:pPr>
    </w:p>
    <w:p w14:paraId="279D5B68">
      <w:pPr>
        <w:pStyle w:val="10"/>
        <w:spacing w:line="0" w:lineRule="atLeast"/>
        <w:jc w:val="center"/>
        <w:rPr>
          <w:rFonts w:hAnsi="宋体" w:cs="宋体"/>
          <w:b/>
          <w:color w:val="auto"/>
          <w:sz w:val="36"/>
          <w:highlight w:val="none"/>
        </w:rPr>
      </w:pPr>
    </w:p>
    <w:p w14:paraId="5E102F50">
      <w:pPr>
        <w:pStyle w:val="10"/>
        <w:spacing w:line="0" w:lineRule="atLeast"/>
        <w:jc w:val="center"/>
        <w:rPr>
          <w:rFonts w:hAnsi="宋体" w:cs="宋体"/>
          <w:b/>
          <w:color w:val="auto"/>
          <w:sz w:val="36"/>
          <w:highlight w:val="none"/>
        </w:rPr>
      </w:pPr>
    </w:p>
    <w:p w14:paraId="6350A7DE">
      <w:pPr>
        <w:pStyle w:val="10"/>
        <w:spacing w:line="0" w:lineRule="atLeast"/>
        <w:jc w:val="center"/>
        <w:rPr>
          <w:rFonts w:hAnsi="宋体" w:cs="宋体"/>
          <w:b/>
          <w:color w:val="auto"/>
          <w:sz w:val="36"/>
          <w:highlight w:val="none"/>
        </w:rPr>
      </w:pPr>
    </w:p>
    <w:p w14:paraId="67982157">
      <w:pPr>
        <w:pStyle w:val="10"/>
        <w:spacing w:line="400" w:lineRule="exact"/>
        <w:rPr>
          <w:rFonts w:hAnsi="宋体" w:cs="宋体"/>
          <w:b/>
          <w:color w:val="auto"/>
          <w:sz w:val="36"/>
          <w:highlight w:val="none"/>
        </w:rPr>
      </w:pPr>
    </w:p>
    <w:p w14:paraId="74459F34">
      <w:pPr>
        <w:pStyle w:val="10"/>
        <w:spacing w:line="400" w:lineRule="exact"/>
        <w:rPr>
          <w:rFonts w:hAnsi="宋体" w:cs="宋体"/>
          <w:b/>
          <w:color w:val="auto"/>
          <w:sz w:val="36"/>
          <w:highlight w:val="none"/>
        </w:rPr>
      </w:pPr>
    </w:p>
    <w:p w14:paraId="0E371882">
      <w:pPr>
        <w:pStyle w:val="10"/>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lang w:eastAsia="zh-CN"/>
        </w:rPr>
        <w:t>鑫达岩字招（2026）030号</w:t>
      </w:r>
    </w:p>
    <w:p w14:paraId="70DAA84E">
      <w:pPr>
        <w:spacing w:line="360" w:lineRule="auto"/>
        <w:ind w:firstLine="643" w:firstLineChars="2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lang w:eastAsia="zh-CN"/>
        </w:rPr>
        <w:t>福建省闽西监狱网络改造项目</w:t>
      </w:r>
    </w:p>
    <w:p w14:paraId="4C0DEC6C">
      <w:pPr>
        <w:pStyle w:val="10"/>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福建省闽西监狱</w:t>
      </w:r>
    </w:p>
    <w:p w14:paraId="030FA384">
      <w:pPr>
        <w:spacing w:line="500" w:lineRule="exact"/>
        <w:rPr>
          <w:rFonts w:ascii="宋体" w:hAnsi="宋体" w:cs="宋体"/>
          <w:b/>
          <w:color w:val="auto"/>
          <w:sz w:val="48"/>
          <w:highlight w:val="none"/>
        </w:rPr>
      </w:pPr>
    </w:p>
    <w:p w14:paraId="3C2B5653">
      <w:pPr>
        <w:pStyle w:val="4"/>
        <w:rPr>
          <w:rFonts w:hint="default" w:cs="宋体"/>
          <w:color w:val="auto"/>
          <w:sz w:val="48"/>
          <w:highlight w:val="none"/>
        </w:rPr>
      </w:pPr>
    </w:p>
    <w:p w14:paraId="5E147B28">
      <w:pPr>
        <w:rPr>
          <w:rFonts w:ascii="宋体" w:hAnsi="宋体" w:cs="宋体"/>
          <w:color w:val="auto"/>
          <w:highlight w:val="none"/>
        </w:rPr>
      </w:pPr>
    </w:p>
    <w:p w14:paraId="2611A5A9">
      <w:pPr>
        <w:rPr>
          <w:rFonts w:ascii="宋体" w:hAnsi="宋体" w:cs="宋体"/>
          <w:color w:val="auto"/>
          <w:highlight w:val="none"/>
        </w:rPr>
      </w:pPr>
    </w:p>
    <w:p w14:paraId="451C3FF4">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14:paraId="63C2E8A3">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w:t>
      </w:r>
      <w:r>
        <w:rPr>
          <w:rFonts w:hint="eastAsia" w:ascii="宋体" w:hAnsi="宋体" w:cs="宋体"/>
          <w:b/>
          <w:color w:val="auto"/>
          <w:sz w:val="32"/>
          <w:szCs w:val="32"/>
          <w:highlight w:val="none"/>
          <w:lang w:eastAsia="zh-CN"/>
        </w:rPr>
        <w:t>五</w:t>
      </w:r>
      <w:r>
        <w:rPr>
          <w:rFonts w:hint="eastAsia" w:ascii="宋体" w:hAnsi="宋体" w:cs="宋体"/>
          <w:b/>
          <w:color w:val="auto"/>
          <w:sz w:val="32"/>
          <w:szCs w:val="32"/>
          <w:highlight w:val="none"/>
        </w:rPr>
        <w:t>月</w:t>
      </w:r>
    </w:p>
    <w:p w14:paraId="49477542">
      <w:pPr>
        <w:pStyle w:val="7"/>
        <w:rPr>
          <w:rFonts w:ascii="宋体" w:hAnsi="宋体" w:cs="宋体"/>
          <w:color w:val="auto"/>
          <w:highlight w:val="none"/>
        </w:rPr>
      </w:pPr>
    </w:p>
    <w:p w14:paraId="1CFCB0C2">
      <w:pPr>
        <w:widowControl/>
        <w:spacing w:line="360" w:lineRule="auto"/>
        <w:ind w:firstLine="643" w:firstLineChars="200"/>
        <w:jc w:val="center"/>
        <w:rPr>
          <w:rFonts w:ascii="宋体" w:hAnsi="宋体" w:cs="宋体"/>
          <w:b/>
          <w:bCs/>
          <w:color w:val="auto"/>
          <w:kern w:val="0"/>
          <w:sz w:val="32"/>
          <w:szCs w:val="32"/>
          <w:highlight w:val="none"/>
        </w:rPr>
      </w:pPr>
    </w:p>
    <w:p w14:paraId="1AD44C6F">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55111CC7">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14:paraId="70EBAA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龙岩市鑫达工程管理有限公司受</w:t>
      </w:r>
      <w:r>
        <w:rPr>
          <w:rFonts w:hint="eastAsia" w:ascii="宋体" w:hAnsi="宋体" w:cs="宋体"/>
          <w:color w:val="auto"/>
          <w:kern w:val="0"/>
          <w:sz w:val="24"/>
          <w:highlight w:val="none"/>
          <w:lang w:eastAsia="zh-CN"/>
        </w:rPr>
        <w:t>福建省闽西监狱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福建省闽西监狱网络改造项目</w:t>
      </w:r>
      <w:r>
        <w:rPr>
          <w:rFonts w:hint="eastAsia" w:ascii="宋体" w:hAnsi="宋体" w:cs="宋体"/>
          <w:color w:val="auto"/>
          <w:kern w:val="0"/>
          <w:sz w:val="24"/>
          <w:highlight w:val="none"/>
        </w:rPr>
        <w:t>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14:paraId="6278EE34">
      <w:pPr>
        <w:widowControl/>
        <w:spacing w:line="360" w:lineRule="auto"/>
        <w:ind w:firstLine="482" w:firstLineChars="200"/>
        <w:jc w:val="left"/>
        <w:rPr>
          <w:rFonts w:hint="eastAsia" w:ascii="宋体" w:hAnsi="宋体" w:eastAsia="宋体" w:cs="宋体"/>
          <w:color w:val="auto"/>
          <w:sz w:val="24"/>
          <w:highlight w:val="none"/>
          <w:lang w:eastAsia="zh-CN"/>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鑫达岩字招（2026）030号</w:t>
      </w:r>
    </w:p>
    <w:p w14:paraId="5D160532">
      <w:pPr>
        <w:widowControl/>
        <w:spacing w:line="360" w:lineRule="auto"/>
        <w:ind w:firstLine="482" w:firstLineChars="200"/>
        <w:jc w:val="left"/>
        <w:rPr>
          <w:rFonts w:hint="eastAsia" w:ascii="宋体" w:hAnsi="宋体" w:eastAsia="宋体" w:cs="宋体"/>
          <w:b/>
          <w:bCs/>
          <w:color w:val="auto"/>
          <w:sz w:val="24"/>
          <w:highlight w:val="none"/>
          <w:lang w:eastAsia="zh-CN"/>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福建省闽西监狱网络改造项目</w:t>
      </w:r>
    </w:p>
    <w:p w14:paraId="7A4FD6EA">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w:t>
      </w:r>
      <w:r>
        <w:rPr>
          <w:rFonts w:hint="eastAsia" w:ascii="宋体" w:hAnsi="宋体" w:cs="宋体"/>
          <w:b/>
          <w:color w:val="auto"/>
          <w:sz w:val="24"/>
          <w:highlight w:val="none"/>
          <w:lang w:val="en-US" w:eastAsia="zh-CN"/>
        </w:rPr>
        <w:t>货物</w:t>
      </w:r>
      <w:r>
        <w:rPr>
          <w:rFonts w:ascii="宋体" w:hAnsi="宋体" w:cs="宋体"/>
          <w:b/>
          <w:color w:val="auto"/>
          <w:sz w:val="24"/>
          <w:highlight w:val="none"/>
        </w:rPr>
        <w:t>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14:paraId="679EB36D">
      <w:pPr>
        <w:pStyle w:val="16"/>
        <w:spacing w:before="0" w:beforeAutospacing="0" w:after="0" w:afterAutospacing="0" w:line="360" w:lineRule="auto"/>
        <w:ind w:firstLine="480"/>
        <w:rPr>
          <w:b/>
          <w:bCs/>
          <w:color w:val="auto"/>
          <w:highlight w:val="none"/>
        </w:rPr>
      </w:pPr>
      <w:r>
        <w:rPr>
          <w:b/>
          <w:bCs/>
          <w:color w:val="auto"/>
          <w:highlight w:val="none"/>
        </w:rPr>
        <w:t>4.报名及竞价时间安排：</w:t>
      </w:r>
    </w:p>
    <w:p w14:paraId="3816206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25</w:t>
      </w:r>
      <w:r>
        <w:rPr>
          <w:rFonts w:ascii="宋体" w:hAnsi="宋体" w:cs="宋体"/>
          <w:color w:val="auto"/>
          <w:kern w:val="0"/>
          <w:sz w:val="24"/>
          <w:highlight w:val="none"/>
        </w:rPr>
        <w:t>日 09:00:00</w:t>
      </w:r>
    </w:p>
    <w:p w14:paraId="01FE455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28</w:t>
      </w:r>
      <w:r>
        <w:rPr>
          <w:rFonts w:ascii="宋体" w:hAnsi="宋体" w:cs="宋体"/>
          <w:color w:val="auto"/>
          <w:kern w:val="0"/>
          <w:sz w:val="24"/>
          <w:highlight w:val="none"/>
        </w:rPr>
        <w:t>日 17:00:00</w:t>
      </w:r>
    </w:p>
    <w:p w14:paraId="78AC264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29</w:t>
      </w:r>
      <w:r>
        <w:rPr>
          <w:rFonts w:ascii="宋体" w:hAnsi="宋体" w:cs="宋体"/>
          <w:color w:val="auto"/>
          <w:kern w:val="0"/>
          <w:sz w:val="24"/>
          <w:highlight w:val="none"/>
        </w:rPr>
        <w:t>日 09:00:00</w:t>
      </w:r>
    </w:p>
    <w:p w14:paraId="6FB31A5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05</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29</w:t>
      </w:r>
      <w:r>
        <w:rPr>
          <w:rFonts w:ascii="宋体" w:hAnsi="宋体" w:cs="宋体"/>
          <w:color w:val="auto"/>
          <w:kern w:val="0"/>
          <w:sz w:val="24"/>
          <w:highlight w:val="none"/>
        </w:rPr>
        <w:t>日 11:00:00</w:t>
      </w:r>
    </w:p>
    <w:p w14:paraId="1A045AFA">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14:paraId="7834DA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本网上竞价文件所述货物</w:t>
      </w:r>
      <w:r>
        <w:rPr>
          <w:rFonts w:hint="eastAsia" w:ascii="宋体" w:hAnsi="宋体" w:cs="宋体"/>
          <w:color w:val="auto"/>
          <w:sz w:val="24"/>
          <w:highlight w:val="none"/>
        </w:rPr>
        <w:t>的法人、事业单位及其他组织</w:t>
      </w:r>
      <w:r>
        <w:rPr>
          <w:rFonts w:hint="eastAsia" w:ascii="宋体" w:hAnsi="宋体" w:eastAsia="宋体" w:cs="宋体"/>
          <w:color w:val="auto"/>
          <w:sz w:val="24"/>
          <w:highlight w:val="none"/>
        </w:rPr>
        <w:t>均可能成为合格的供应商；</w:t>
      </w:r>
    </w:p>
    <w:p w14:paraId="431F1BFC">
      <w:pPr>
        <w:pStyle w:val="25"/>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14:paraId="72D6F8DB">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031B2E6B">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14:paraId="541A835D">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14:paraId="41FA45F8">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14:paraId="43D7D0B3">
      <w:pPr>
        <w:numPr>
          <w:ilvl w:val="0"/>
          <w:numId w:val="2"/>
        </w:numPr>
        <w:spacing w:line="360" w:lineRule="auto"/>
        <w:ind w:firstLine="481"/>
        <w:rPr>
          <w:rFonts w:ascii="宋体" w:hAnsi="宋体" w:cs="宋体"/>
          <w:color w:val="auto"/>
          <w:highlight w:val="none"/>
        </w:rPr>
      </w:pP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CEA3559">
      <w:pPr>
        <w:numPr>
          <w:ilvl w:val="0"/>
          <w:numId w:val="2"/>
        </w:num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本项目是否接受联合体竞价：不接受。</w:t>
      </w:r>
    </w:p>
    <w:p w14:paraId="29276DBD">
      <w:pPr>
        <w:widowControl/>
        <w:shd w:val="clear" w:color="auto" w:fill="FFFFFF"/>
        <w:spacing w:line="360" w:lineRule="auto"/>
        <w:ind w:firstLine="480" w:firstLineChars="200"/>
        <w:jc w:val="left"/>
        <w:rPr>
          <w:rStyle w:val="26"/>
          <w:rFonts w:ascii="宋体" w:hAnsi="宋体" w:cs="宋体"/>
          <w:color w:val="auto"/>
          <w:highlight w:val="none"/>
        </w:rPr>
      </w:pPr>
      <w:r>
        <w:rPr>
          <w:rStyle w:val="26"/>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随竞价材料上传。</w:t>
      </w:r>
    </w:p>
    <w:p w14:paraId="0958F462">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14:paraId="7433466B">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14:paraId="6D823F17">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14:paraId="71759F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hint="eastAsia" w:ascii="宋体" w:hAnsi="宋体" w:cs="宋体"/>
          <w:b/>
          <w:bCs/>
          <w:color w:val="auto"/>
          <w:sz w:val="24"/>
          <w:highlight w:val="none"/>
          <w:u w:val="single"/>
          <w:lang w:val="en-US" w:eastAsia="zh-CN"/>
        </w:rPr>
        <w:t>6600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18E4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p>
    <w:p w14:paraId="13374C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14:paraId="5360F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14:paraId="64879F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14:paraId="0F5B126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14:paraId="1686C60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14:paraId="545E0809">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14:paraId="5EC868BF">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w:t>
      </w:r>
      <w:r>
        <w:rPr>
          <w:rFonts w:hint="eastAsia" w:ascii="宋体" w:hAnsi="宋体" w:cs="宋体"/>
          <w:bCs/>
          <w:color w:val="auto"/>
          <w:kern w:val="0"/>
          <w:sz w:val="24"/>
          <w:highlight w:val="none"/>
          <w:shd w:val="clear" w:color="auto" w:fill="FFFFFF"/>
          <w:lang w:val="en-US" w:eastAsia="zh-CN"/>
        </w:rPr>
        <w:t>成交金额</w:t>
      </w:r>
      <w:r>
        <w:rPr>
          <w:rFonts w:hint="eastAsia" w:ascii="宋体" w:hAnsi="宋体" w:cs="宋体"/>
          <w:bCs/>
          <w:color w:val="auto"/>
          <w:kern w:val="0"/>
          <w:sz w:val="24"/>
          <w:highlight w:val="none"/>
          <w:shd w:val="clear" w:color="auto" w:fill="FFFFFF"/>
        </w:rPr>
        <w:t>为计算基数；</w:t>
      </w:r>
    </w:p>
    <w:p w14:paraId="6EE6653A">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ascii="宋体" w:hAnsi="宋体" w:cs="宋体"/>
          <w:bCs/>
          <w:color w:val="auto"/>
          <w:kern w:val="0"/>
          <w:sz w:val="24"/>
          <w:highlight w:val="none"/>
          <w:shd w:val="clear" w:color="auto" w:fill="FFFFFF"/>
        </w:rPr>
        <w:t>50（含，下同）以下按1%</w:t>
      </w:r>
      <w:r>
        <w:rPr>
          <w:rFonts w:hint="eastAsia" w:ascii="宋体" w:hAnsi="宋体" w:cs="宋体"/>
          <w:bCs/>
          <w:color w:val="auto"/>
          <w:kern w:val="0"/>
          <w:sz w:val="24"/>
          <w:highlight w:val="none"/>
          <w:shd w:val="clear" w:color="auto" w:fill="FFFFFF"/>
          <w:lang w:eastAsia="zh-CN"/>
        </w:rPr>
        <w:t>，</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hint="eastAsia" w:ascii="宋体" w:hAnsi="宋体" w:cs="宋体"/>
          <w:bCs/>
          <w:color w:val="auto"/>
          <w:kern w:val="0"/>
          <w:sz w:val="24"/>
          <w:highlight w:val="none"/>
          <w:shd w:val="clear" w:color="auto" w:fill="FFFFFF"/>
          <w:lang w:val="en-US" w:eastAsia="zh-CN"/>
        </w:rPr>
        <w:t>50-100（含100）按0.9%。</w:t>
      </w:r>
    </w:p>
    <w:p w14:paraId="2F2C395C">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14:paraId="5D779C91">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14:paraId="2398CA1B">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14:paraId="752D8AD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福建省闽西监狱</w:t>
      </w:r>
    </w:p>
    <w:p w14:paraId="49073DD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eastAsia="zh-CN"/>
        </w:rPr>
        <w:t>福建省龙岩市新罗区凤凰北路2号</w:t>
      </w:r>
    </w:p>
    <w:p w14:paraId="400AC5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lang w:val="en-US" w:eastAsia="zh-CN"/>
        </w:rPr>
        <w:t>赖</w:t>
      </w:r>
      <w:r>
        <w:rPr>
          <w:rFonts w:hint="eastAsia" w:ascii="宋体" w:hAnsi="宋体" w:cs="宋体"/>
          <w:color w:val="auto"/>
          <w:sz w:val="24"/>
          <w:highlight w:val="none"/>
        </w:rPr>
        <w:t xml:space="preserve">先生，0597-5309186 </w:t>
      </w:r>
    </w:p>
    <w:p w14:paraId="761FE8B5">
      <w:pPr>
        <w:pStyle w:val="9"/>
        <w:rPr>
          <w:rFonts w:ascii="宋体" w:hAnsi="宋体" w:cs="宋体"/>
          <w:color w:val="auto"/>
          <w:highlight w:val="none"/>
        </w:rPr>
      </w:pPr>
    </w:p>
    <w:p w14:paraId="014498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14:paraId="28BF73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14:paraId="01414B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14:paraId="574299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14:paraId="7F2909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14:paraId="5284CF88">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14:paraId="5EA7E12C">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14:paraId="52E0BD45">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14:paraId="63124FD8">
      <w:pPr>
        <w:spacing w:line="360" w:lineRule="auto"/>
        <w:rPr>
          <w:rFonts w:ascii="宋体" w:hAnsi="宋体" w:cs="宋体"/>
          <w:b/>
          <w:color w:val="auto"/>
          <w:kern w:val="0"/>
          <w:sz w:val="32"/>
          <w:szCs w:val="32"/>
          <w:highlight w:val="none"/>
        </w:rPr>
      </w:pPr>
    </w:p>
    <w:p w14:paraId="4A63161A">
      <w:pPr>
        <w:spacing w:line="360" w:lineRule="auto"/>
        <w:jc w:val="center"/>
        <w:rPr>
          <w:rFonts w:ascii="宋体" w:hAnsi="宋体" w:cs="宋体"/>
          <w:b/>
          <w:color w:val="auto"/>
          <w:kern w:val="0"/>
          <w:sz w:val="32"/>
          <w:szCs w:val="32"/>
          <w:highlight w:val="none"/>
        </w:rPr>
      </w:pPr>
    </w:p>
    <w:p w14:paraId="74D57563">
      <w:pPr>
        <w:spacing w:line="360" w:lineRule="auto"/>
        <w:jc w:val="center"/>
        <w:rPr>
          <w:rFonts w:ascii="宋体" w:hAnsi="宋体" w:cs="宋体"/>
          <w:b/>
          <w:color w:val="auto"/>
          <w:kern w:val="0"/>
          <w:sz w:val="32"/>
          <w:szCs w:val="32"/>
          <w:highlight w:val="none"/>
        </w:rPr>
      </w:pPr>
    </w:p>
    <w:p w14:paraId="746992E8">
      <w:pPr>
        <w:spacing w:line="360" w:lineRule="auto"/>
        <w:jc w:val="center"/>
        <w:rPr>
          <w:rFonts w:ascii="宋体" w:hAnsi="宋体" w:cs="宋体"/>
          <w:b/>
          <w:color w:val="auto"/>
          <w:kern w:val="0"/>
          <w:sz w:val="32"/>
          <w:szCs w:val="32"/>
          <w:highlight w:val="none"/>
        </w:rPr>
      </w:pPr>
    </w:p>
    <w:p w14:paraId="30BFF0E2">
      <w:pPr>
        <w:pStyle w:val="4"/>
        <w:rPr>
          <w:rFonts w:hint="default" w:cs="宋体"/>
          <w:color w:val="auto"/>
          <w:highlight w:val="none"/>
        </w:rPr>
      </w:pPr>
    </w:p>
    <w:p w14:paraId="4B6E49B0">
      <w:pPr>
        <w:spacing w:line="360" w:lineRule="auto"/>
        <w:jc w:val="center"/>
        <w:rPr>
          <w:rFonts w:ascii="宋体" w:hAnsi="宋体" w:cs="宋体"/>
          <w:b/>
          <w:color w:val="auto"/>
          <w:kern w:val="0"/>
          <w:sz w:val="32"/>
          <w:szCs w:val="32"/>
          <w:highlight w:val="none"/>
        </w:rPr>
      </w:pPr>
    </w:p>
    <w:p w14:paraId="4F55182B">
      <w:pPr>
        <w:spacing w:line="360" w:lineRule="auto"/>
        <w:jc w:val="center"/>
        <w:rPr>
          <w:rFonts w:ascii="宋体" w:hAnsi="宋体" w:cs="宋体"/>
          <w:b/>
          <w:color w:val="auto"/>
          <w:kern w:val="0"/>
          <w:sz w:val="32"/>
          <w:szCs w:val="32"/>
          <w:highlight w:val="none"/>
        </w:rPr>
      </w:pPr>
    </w:p>
    <w:p w14:paraId="78EDC0D2">
      <w:pPr>
        <w:spacing w:line="360" w:lineRule="auto"/>
        <w:jc w:val="center"/>
        <w:rPr>
          <w:rFonts w:ascii="宋体" w:hAnsi="宋体" w:cs="宋体"/>
          <w:b/>
          <w:color w:val="auto"/>
          <w:kern w:val="0"/>
          <w:sz w:val="32"/>
          <w:szCs w:val="32"/>
          <w:highlight w:val="none"/>
        </w:rPr>
      </w:pPr>
    </w:p>
    <w:p w14:paraId="2EACFD8D">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629226B">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14:paraId="117E8173">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45B3AE36">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14:paraId="07AEA92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DB0B05C">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0F6DEF03">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520ECC2">
      <w:pPr>
        <w:pStyle w:val="19"/>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14:paraId="14988ACB">
      <w:pPr>
        <w:spacing w:line="360" w:lineRule="auto"/>
        <w:ind w:firstLine="482" w:firstLineChars="200"/>
        <w:rPr>
          <w:rStyle w:val="26"/>
          <w:rFonts w:ascii="宋体" w:hAnsi="宋体" w:cs="宋体"/>
          <w:b/>
          <w:bCs/>
          <w:color w:val="auto"/>
          <w:kern w:val="0"/>
          <w:sz w:val="24"/>
          <w:highlight w:val="none"/>
        </w:rPr>
      </w:pPr>
      <w:r>
        <w:rPr>
          <w:rStyle w:val="26"/>
          <w:rFonts w:hint="eastAsia" w:ascii="宋体" w:hAnsi="宋体" w:cs="宋体"/>
          <w:b/>
          <w:bCs/>
          <w:color w:val="auto"/>
          <w:kern w:val="0"/>
          <w:sz w:val="24"/>
          <w:highlight w:val="none"/>
        </w:rPr>
        <w:t>二、报名须知</w:t>
      </w:r>
    </w:p>
    <w:p w14:paraId="0A59E93D">
      <w:pPr>
        <w:widowControl/>
        <w:spacing w:line="360" w:lineRule="auto"/>
        <w:ind w:firstLine="480" w:firstLineChars="200"/>
        <w:jc w:val="left"/>
        <w:rPr>
          <w:rStyle w:val="26"/>
          <w:rFonts w:ascii="宋体" w:hAnsi="宋体" w:cs="宋体"/>
          <w:color w:val="auto"/>
          <w:kern w:val="0"/>
          <w:sz w:val="24"/>
          <w:highlight w:val="none"/>
        </w:rPr>
      </w:pPr>
      <w:r>
        <w:rPr>
          <w:rStyle w:val="26"/>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6"/>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6"/>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6"/>
          <w:rFonts w:hint="eastAsia" w:ascii="宋体" w:hAnsi="宋体" w:cs="宋体"/>
          <w:color w:val="auto"/>
          <w:kern w:val="0"/>
          <w:sz w:val="24"/>
          <w:highlight w:val="none"/>
        </w:rPr>
        <w:t>）</w:t>
      </w:r>
      <w:r>
        <w:rPr>
          <w:rStyle w:val="26"/>
          <w:rFonts w:hint="eastAsia" w:ascii="宋体" w:hAnsi="宋体" w:cs="宋体"/>
          <w:b/>
          <w:bCs/>
          <w:color w:val="auto"/>
          <w:kern w:val="0"/>
          <w:sz w:val="24"/>
          <w:highlight w:val="none"/>
        </w:rPr>
        <w:t>。</w:t>
      </w:r>
      <w:r>
        <w:rPr>
          <w:rStyle w:val="26"/>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77D8783">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6"/>
          <w:rFonts w:hint="eastAsia" w:ascii="宋体" w:hAnsi="宋体" w:cs="宋体"/>
          <w:color w:val="auto"/>
          <w:sz w:val="24"/>
          <w:highlight w:val="none"/>
        </w:rPr>
        <w:t>按本文件第五章“第一部分</w:t>
      </w:r>
      <w:r>
        <w:rPr>
          <w:rStyle w:val="26"/>
          <w:rFonts w:ascii="宋体" w:hAnsi="宋体" w:cs="宋体"/>
          <w:color w:val="auto"/>
          <w:sz w:val="24"/>
          <w:highlight w:val="none"/>
        </w:rPr>
        <w:t xml:space="preserve"> </w:t>
      </w:r>
      <w:r>
        <w:rPr>
          <w:rStyle w:val="26"/>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6"/>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14:paraId="62D53D42">
      <w:pPr>
        <w:pStyle w:val="16"/>
        <w:spacing w:before="75" w:beforeAutospacing="0" w:after="75" w:afterAutospacing="0" w:line="360" w:lineRule="auto"/>
        <w:ind w:firstLine="480"/>
        <w:rPr>
          <w:rStyle w:val="26"/>
          <w:rFonts w:ascii="宋体" w:hAnsi="宋体" w:cs="宋体"/>
          <w:b/>
          <w:bCs/>
          <w:color w:val="auto"/>
          <w:sz w:val="24"/>
          <w:highlight w:val="none"/>
        </w:rPr>
      </w:pPr>
      <w:r>
        <w:rPr>
          <w:color w:val="auto"/>
          <w:kern w:val="0"/>
          <w:sz w:val="24"/>
          <w:highlight w:val="none"/>
        </w:rPr>
        <w:t>3.</w:t>
      </w:r>
      <w:r>
        <w:rPr>
          <w:rStyle w:val="26"/>
          <w:rFonts w:hint="eastAsia"/>
          <w:color w:val="auto"/>
          <w:sz w:val="24"/>
          <w:highlight w:val="none"/>
        </w:rPr>
        <w:t>供应商提交的响应文件符合网上竞价文件要求的（即不存在网上竞价文件中规定的无效响应情形的）方可在网上竞价时间内参与竞价</w:t>
      </w:r>
      <w:r>
        <w:rPr>
          <w:rStyle w:val="26"/>
          <w:color w:val="auto"/>
          <w:sz w:val="24"/>
          <w:highlight w:val="none"/>
        </w:rPr>
        <w:t>。</w:t>
      </w:r>
      <w:r>
        <w:rPr>
          <w:rStyle w:val="26"/>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6"/>
          <w:rFonts w:hint="eastAsia" w:ascii="宋体" w:hAnsi="宋体" w:cs="宋体"/>
          <w:color w:val="auto"/>
          <w:highlight w:val="none"/>
        </w:rPr>
        <w:t>力</w:t>
      </w:r>
      <w:r>
        <w:rPr>
          <w:rStyle w:val="26"/>
          <w:rFonts w:hint="eastAsia" w:ascii="宋体" w:hAnsi="宋体" w:cs="宋体"/>
          <w:color w:val="auto"/>
          <w:sz w:val="24"/>
          <w:highlight w:val="none"/>
        </w:rPr>
        <w:t>。</w:t>
      </w:r>
      <w:r>
        <w:rPr>
          <w:rStyle w:val="26"/>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cs="宋体"/>
          <w:color w:val="auto"/>
          <w:sz w:val="24"/>
          <w:highlight w:val="none"/>
        </w:rPr>
        <w:t>本次采购活动结束，采购人将按照相关规定进行后续采购活动（包括但不限于：重新开展网上竞价活动、采用其他方式采购等）。</w:t>
      </w:r>
    </w:p>
    <w:p w14:paraId="61F7E337">
      <w:pPr>
        <w:pStyle w:val="16"/>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3"/>
          <w:rFonts w:hint="eastAsia"/>
          <w:color w:val="auto"/>
          <w:highlight w:val="none"/>
        </w:rPr>
        <w:t>报名审核不合格，视为无效响应：</w:t>
      </w:r>
    </w:p>
    <w:p w14:paraId="338BA709">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14:paraId="3B755C0F">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14:paraId="6859A898">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14:paraId="722E771A">
      <w:pPr>
        <w:spacing w:line="360" w:lineRule="auto"/>
        <w:ind w:firstLine="482" w:firstLineChars="200"/>
        <w:rPr>
          <w:rFonts w:ascii="宋体" w:hAnsi="宋体" w:cs="宋体"/>
          <w:b/>
          <w:bCs/>
          <w:color w:val="auto"/>
          <w:kern w:val="0"/>
          <w:sz w:val="24"/>
          <w:highlight w:val="none"/>
        </w:rPr>
      </w:pPr>
      <w:r>
        <w:rPr>
          <w:rStyle w:val="26"/>
          <w:rFonts w:hint="eastAsia" w:ascii="宋体" w:hAnsi="宋体" w:cs="宋体"/>
          <w:b/>
          <w:bCs/>
          <w:color w:val="auto"/>
          <w:kern w:val="0"/>
          <w:sz w:val="24"/>
          <w:highlight w:val="none"/>
        </w:rPr>
        <w:t>三、网上</w:t>
      </w:r>
      <w:r>
        <w:rPr>
          <w:rStyle w:val="26"/>
          <w:rFonts w:ascii="宋体" w:hAnsi="宋体" w:cs="宋体"/>
          <w:b/>
          <w:bCs/>
          <w:color w:val="auto"/>
          <w:kern w:val="0"/>
          <w:sz w:val="24"/>
          <w:highlight w:val="none"/>
        </w:rPr>
        <w:t>竞价规则</w:t>
      </w:r>
    </w:p>
    <w:p w14:paraId="796A264F">
      <w:pPr>
        <w:pStyle w:val="16"/>
        <w:spacing w:before="75" w:beforeAutospacing="0" w:after="75" w:afterAutospacing="0" w:line="360" w:lineRule="auto"/>
        <w:ind w:firstLine="480"/>
        <w:rPr>
          <w:rStyle w:val="26"/>
          <w:rFonts w:ascii="宋体" w:hAnsi="宋体" w:cs="宋体"/>
          <w:color w:val="auto"/>
          <w:kern w:val="0"/>
          <w:sz w:val="24"/>
          <w:highlight w:val="none"/>
        </w:rPr>
      </w:pPr>
      <w:r>
        <w:rPr>
          <w:color w:val="auto"/>
          <w:kern w:val="0"/>
          <w:sz w:val="24"/>
          <w:highlight w:val="none"/>
        </w:rPr>
        <w:t>1.</w:t>
      </w:r>
      <w:r>
        <w:rPr>
          <w:rStyle w:val="26"/>
          <w:color w:val="auto"/>
          <w:kern w:val="0"/>
          <w:sz w:val="24"/>
          <w:highlight w:val="none"/>
        </w:rPr>
        <w:t>网上竞价的报价时限为</w:t>
      </w:r>
      <w:r>
        <w:rPr>
          <w:rStyle w:val="26"/>
          <w:rFonts w:hint="eastAsia"/>
          <w:color w:val="auto"/>
          <w:kern w:val="0"/>
          <w:sz w:val="24"/>
          <w:highlight w:val="none"/>
        </w:rPr>
        <w:t>网上竞价开始时间起至网上竞价截止时间止，在此期间内</w:t>
      </w:r>
      <w:r>
        <w:rPr>
          <w:rStyle w:val="26"/>
          <w:color w:val="auto"/>
          <w:kern w:val="0"/>
          <w:sz w:val="24"/>
          <w:highlight w:val="none"/>
        </w:rPr>
        <w:t>，报名审核</w:t>
      </w:r>
      <w:r>
        <w:rPr>
          <w:rStyle w:val="26"/>
          <w:rFonts w:hint="eastAsia"/>
          <w:color w:val="auto"/>
          <w:kern w:val="0"/>
          <w:sz w:val="24"/>
          <w:highlight w:val="none"/>
        </w:rPr>
        <w:t>通过</w:t>
      </w:r>
      <w:r>
        <w:rPr>
          <w:rStyle w:val="26"/>
          <w:color w:val="auto"/>
          <w:kern w:val="0"/>
          <w:sz w:val="24"/>
          <w:highlight w:val="none"/>
        </w:rPr>
        <w:t>的</w:t>
      </w:r>
      <w:r>
        <w:rPr>
          <w:rStyle w:val="26"/>
          <w:rFonts w:hint="eastAsia"/>
          <w:color w:val="auto"/>
          <w:kern w:val="0"/>
          <w:sz w:val="24"/>
          <w:highlight w:val="none"/>
        </w:rPr>
        <w:t>供应商</w:t>
      </w:r>
      <w:r>
        <w:rPr>
          <w:rStyle w:val="26"/>
          <w:color w:val="auto"/>
          <w:kern w:val="0"/>
          <w:sz w:val="24"/>
          <w:highlight w:val="none"/>
        </w:rPr>
        <w:t>可通过</w:t>
      </w:r>
      <w:r>
        <w:rPr>
          <w:rStyle w:val="26"/>
          <w:rFonts w:hint="eastAsia"/>
          <w:color w:val="auto"/>
          <w:kern w:val="0"/>
          <w:sz w:val="24"/>
          <w:highlight w:val="none"/>
        </w:rPr>
        <w:t>网上竞价平台</w:t>
      </w:r>
      <w:r>
        <w:rPr>
          <w:rStyle w:val="26"/>
          <w:color w:val="auto"/>
          <w:kern w:val="0"/>
          <w:sz w:val="24"/>
          <w:highlight w:val="none"/>
        </w:rPr>
        <w:t>参与</w:t>
      </w:r>
      <w:r>
        <w:rPr>
          <w:rStyle w:val="26"/>
          <w:rFonts w:hint="eastAsia"/>
          <w:color w:val="auto"/>
          <w:kern w:val="0"/>
          <w:sz w:val="24"/>
          <w:highlight w:val="none"/>
        </w:rPr>
        <w:t>网上</w:t>
      </w:r>
      <w:r>
        <w:rPr>
          <w:rStyle w:val="26"/>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6"/>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14:paraId="03E5021F">
      <w:pPr>
        <w:pageBreakBefore w:val="0"/>
        <w:widowControl/>
        <w:kinsoku/>
        <w:wordWrap/>
        <w:topLinePunct w:val="0"/>
        <w:bidi w:val="0"/>
        <w:spacing w:line="360" w:lineRule="auto"/>
        <w:ind w:firstLine="482" w:firstLineChars="200"/>
        <w:jc w:val="left"/>
        <w:textAlignment w:val="baseline"/>
        <w:rPr>
          <w:rStyle w:val="26"/>
          <w:rFonts w:hint="eastAsia" w:ascii="宋体" w:hAnsi="宋体"/>
          <w:b/>
          <w:bCs/>
          <w:color w:val="auto"/>
          <w:kern w:val="0"/>
          <w:sz w:val="24"/>
          <w:highlight w:val="none"/>
          <w:lang w:val="en-US"/>
        </w:rPr>
      </w:pPr>
      <w:r>
        <w:rPr>
          <w:rFonts w:hint="eastAsia" w:ascii="宋体" w:hAnsi="宋体" w:cs="宋体"/>
          <w:b/>
          <w:bCs/>
          <w:color w:val="auto"/>
          <w:sz w:val="24"/>
          <w:highlight w:val="none"/>
        </w:rPr>
        <w:t>2.</w:t>
      </w:r>
      <w:r>
        <w:rPr>
          <w:rStyle w:val="26"/>
          <w:rFonts w:hint="eastAsia" w:ascii="宋体" w:hAnsi="宋体"/>
          <w:b w:val="0"/>
          <w:bCs w:val="0"/>
          <w:color w:val="auto"/>
          <w:kern w:val="0"/>
          <w:sz w:val="24"/>
          <w:highlight w:val="none"/>
          <w:lang w:val="en-US"/>
        </w:rPr>
        <w:t>供应商首次提交的报价总价须低于本项目总价最高限价的3%以上（不含3%）[即本项目供应商首次提交的报价下浮率须高于3%以上（不含3%）]，否则视为无效报价。</w:t>
      </w:r>
      <w:r>
        <w:rPr>
          <w:rStyle w:val="26"/>
          <w:rFonts w:hint="eastAsia" w:ascii="宋体" w:hAnsi="宋体"/>
          <w:b/>
          <w:bCs/>
          <w:color w:val="auto"/>
          <w:kern w:val="0"/>
          <w:sz w:val="24"/>
          <w:highlight w:val="none"/>
          <w:lang w:val="en-US"/>
        </w:rPr>
        <w:t>（如供应商首次提交的报价未按竞价文件要求低于本项目总价最高限价的3%以上（不含3%）</w:t>
      </w:r>
      <w:r>
        <w:rPr>
          <w:rStyle w:val="26"/>
          <w:rFonts w:hint="eastAsia" w:ascii="宋体" w:hAnsi="宋体"/>
          <w:b w:val="0"/>
          <w:bCs w:val="0"/>
          <w:color w:val="auto"/>
          <w:kern w:val="0"/>
          <w:sz w:val="24"/>
          <w:highlight w:val="none"/>
          <w:lang w:val="en-US"/>
        </w:rPr>
        <w:t>[即供应商首次提交的报价下浮率未按竞价文件要求高于3%以上（不含3%）]</w:t>
      </w:r>
      <w:r>
        <w:rPr>
          <w:rStyle w:val="26"/>
          <w:rFonts w:hint="eastAsia" w:ascii="宋体" w:hAnsi="宋体"/>
          <w:b/>
          <w:bCs/>
          <w:color w:val="auto"/>
          <w:kern w:val="0"/>
          <w:sz w:val="24"/>
          <w:highlight w:val="none"/>
          <w:lang w:val="en-US"/>
        </w:rPr>
        <w:t>，继续在竞价平台上参与竞价、最终报价为最低者[即最终报价下浮率为最高者]，该供应商仍然不能成为本项目的供应商；当最低报价供应商的报价[即最高报价下浮率供应商的报价下浮率]不符合竞价要求时，则第二低价报价[即第二高报价下浮率]的供应商成为本项目的供应商。）</w:t>
      </w:r>
    </w:p>
    <w:p w14:paraId="20972D20">
      <w:pPr>
        <w:pageBreakBefore w:val="0"/>
        <w:widowControl/>
        <w:kinsoku/>
        <w:wordWrap/>
        <w:topLinePunct w:val="0"/>
        <w:bidi w:val="0"/>
        <w:spacing w:line="360" w:lineRule="auto"/>
        <w:ind w:firstLine="480" w:firstLineChars="200"/>
        <w:jc w:val="left"/>
        <w:textAlignment w:val="baseline"/>
        <w:rPr>
          <w:rFonts w:ascii="宋体" w:hAnsi="宋体" w:cs="宋体"/>
          <w:color w:val="auto"/>
          <w:highlight w:val="none"/>
        </w:rPr>
      </w:pPr>
      <w:r>
        <w:rPr>
          <w:rStyle w:val="26"/>
          <w:rFonts w:hint="eastAsia" w:ascii="宋体" w:hAnsi="宋体"/>
          <w:b w:val="0"/>
          <w:bCs w:val="0"/>
          <w:color w:val="auto"/>
          <w:kern w:val="0"/>
          <w:sz w:val="24"/>
          <w:highlight w:val="none"/>
          <w:lang w:val="en-US"/>
        </w:rPr>
        <w:t>在网上竞价时间内、同一供应商有多次报价的情况下，则该供应商的每一次报价金额必须小于自己上一次的报价金额[即该供应商的每一次报价下浮率必须高于自己上一次的报价下浮率]，同时以该供应商提交的最后一次报价作为其最终有效报价。</w:t>
      </w:r>
    </w:p>
    <w:p w14:paraId="16A70FDA">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B255C70">
      <w:pPr>
        <w:widowControl/>
        <w:spacing w:line="360" w:lineRule="auto"/>
        <w:ind w:firstLine="480" w:firstLineChars="200"/>
        <w:jc w:val="left"/>
        <w:rPr>
          <w:rFonts w:hint="eastAsia" w:ascii="宋体" w:hAnsi="宋体" w:cs="宋体"/>
          <w:bCs/>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r>
        <w:rPr>
          <w:rFonts w:hint="eastAsia" w:ascii="宋体" w:hAnsi="宋体" w:cs="宋体"/>
          <w:bCs/>
          <w:color w:val="auto"/>
          <w:kern w:val="0"/>
          <w:sz w:val="24"/>
          <w:highlight w:val="none"/>
        </w:rPr>
        <w:t>所上传报价</w:t>
      </w:r>
    </w:p>
    <w:p w14:paraId="6D640E18">
      <w:pPr>
        <w:widowControl/>
        <w:spacing w:line="360" w:lineRule="auto"/>
        <w:jc w:val="left"/>
        <w:rPr>
          <w:rFonts w:ascii="宋体" w:hAnsi="宋体" w:cs="宋体"/>
          <w:color w:val="auto"/>
          <w:kern w:val="0"/>
          <w:sz w:val="24"/>
          <w:highlight w:val="none"/>
        </w:rPr>
      </w:pPr>
      <w:r>
        <w:rPr>
          <w:rFonts w:hint="eastAsia" w:ascii="宋体" w:hAnsi="宋体" w:cs="宋体"/>
          <w:bCs/>
          <w:color w:val="auto"/>
          <w:kern w:val="0"/>
          <w:sz w:val="24"/>
          <w:highlight w:val="none"/>
        </w:rPr>
        <w:t>文件与竞价系统记录不一致的，以竞价系统记录的数据为准。</w:t>
      </w:r>
    </w:p>
    <w:p w14:paraId="6F099F0C">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24F5EE65">
      <w:pPr>
        <w:widowControl/>
        <w:spacing w:line="360" w:lineRule="auto"/>
        <w:ind w:firstLine="480" w:firstLineChars="200"/>
        <w:jc w:val="left"/>
        <w:textAlignment w:val="baseline"/>
        <w:rPr>
          <w:rStyle w:val="26"/>
          <w:rFonts w:ascii="宋体" w:hAnsi="宋体" w:cs="宋体"/>
          <w:color w:val="auto"/>
          <w:kern w:val="0"/>
          <w:sz w:val="24"/>
          <w:highlight w:val="none"/>
        </w:rPr>
      </w:pPr>
      <w:r>
        <w:rPr>
          <w:rFonts w:ascii="宋体" w:hAnsi="宋体" w:cs="宋体"/>
          <w:color w:val="auto"/>
          <w:sz w:val="24"/>
          <w:highlight w:val="none"/>
        </w:rPr>
        <w:t>1.</w:t>
      </w:r>
      <w:r>
        <w:rPr>
          <w:rStyle w:val="26"/>
          <w:rFonts w:hint="eastAsia" w:ascii="宋体" w:hAnsi="宋体" w:cs="宋体"/>
          <w:color w:val="auto"/>
          <w:kern w:val="0"/>
          <w:sz w:val="24"/>
          <w:highlight w:val="none"/>
        </w:rPr>
        <w:t>供应商</w:t>
      </w:r>
      <w:r>
        <w:rPr>
          <w:rStyle w:val="26"/>
          <w:rFonts w:ascii="宋体" w:hAnsi="宋体" w:cs="宋体"/>
          <w:color w:val="auto"/>
          <w:kern w:val="0"/>
          <w:sz w:val="24"/>
          <w:highlight w:val="none"/>
        </w:rPr>
        <w:t>在</w:t>
      </w:r>
      <w:r>
        <w:rPr>
          <w:rStyle w:val="26"/>
          <w:rFonts w:hint="eastAsia" w:ascii="宋体" w:hAnsi="宋体" w:cs="宋体"/>
          <w:color w:val="auto"/>
          <w:kern w:val="0"/>
          <w:sz w:val="24"/>
          <w:highlight w:val="none"/>
        </w:rPr>
        <w:t>完全满足网上竞价文件要求</w:t>
      </w:r>
      <w:r>
        <w:rPr>
          <w:rStyle w:val="26"/>
          <w:rFonts w:ascii="宋体" w:hAnsi="宋体" w:cs="宋体"/>
          <w:color w:val="auto"/>
          <w:kern w:val="0"/>
          <w:sz w:val="24"/>
          <w:highlight w:val="none"/>
        </w:rPr>
        <w:t>且报价有效的前提下，</w:t>
      </w:r>
      <w:r>
        <w:rPr>
          <w:rStyle w:val="26"/>
          <w:rFonts w:hint="eastAsia" w:ascii="宋体" w:hAnsi="宋体" w:cs="宋体"/>
          <w:color w:val="auto"/>
          <w:kern w:val="0"/>
          <w:sz w:val="24"/>
          <w:highlight w:val="none"/>
        </w:rPr>
        <w:t>最终有效报价</w:t>
      </w:r>
      <w:r>
        <w:rPr>
          <w:rStyle w:val="26"/>
          <w:rFonts w:ascii="宋体" w:hAnsi="宋体" w:cs="宋体"/>
          <w:color w:val="auto"/>
          <w:kern w:val="0"/>
          <w:sz w:val="24"/>
          <w:highlight w:val="none"/>
        </w:rPr>
        <w:t>最低者</w:t>
      </w:r>
      <w:r>
        <w:rPr>
          <w:rStyle w:val="26"/>
          <w:rFonts w:hint="eastAsia" w:ascii="宋体" w:hAnsi="宋体" w:cs="宋体"/>
          <w:color w:val="auto"/>
          <w:kern w:val="0"/>
          <w:sz w:val="24"/>
          <w:highlight w:val="none"/>
        </w:rPr>
        <w:t>为</w:t>
      </w:r>
      <w:r>
        <w:rPr>
          <w:rStyle w:val="26"/>
          <w:rFonts w:ascii="宋体" w:hAnsi="宋体" w:cs="宋体"/>
          <w:color w:val="auto"/>
          <w:kern w:val="0"/>
          <w:sz w:val="24"/>
          <w:highlight w:val="none"/>
        </w:rPr>
        <w:t>成交</w:t>
      </w:r>
      <w:r>
        <w:rPr>
          <w:rStyle w:val="26"/>
          <w:rFonts w:hint="eastAsia" w:ascii="宋体" w:hAnsi="宋体" w:cs="宋体"/>
          <w:color w:val="auto"/>
          <w:kern w:val="0"/>
          <w:sz w:val="24"/>
          <w:highlight w:val="none"/>
        </w:rPr>
        <w:t>候选人</w:t>
      </w:r>
      <w:r>
        <w:rPr>
          <w:rStyle w:val="26"/>
          <w:rFonts w:ascii="宋体" w:hAnsi="宋体" w:cs="宋体"/>
          <w:color w:val="auto"/>
          <w:kern w:val="0"/>
          <w:sz w:val="24"/>
          <w:highlight w:val="none"/>
        </w:rPr>
        <w:t>，若</w:t>
      </w:r>
      <w:r>
        <w:rPr>
          <w:rStyle w:val="26"/>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1EC97EA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14:paraId="562689C3">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14:paraId="319C6CFB">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41924561">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14:paraId="103EDC4C">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14:paraId="3FDDE82A">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4CD7D02">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6"/>
          <w:rFonts w:hint="eastAsia" w:ascii="宋体" w:hAnsi="宋体" w:cs="宋体"/>
          <w:b/>
          <w:bCs/>
          <w:color w:val="auto"/>
          <w:sz w:val="24"/>
          <w:highlight w:val="none"/>
        </w:rPr>
        <w:t>成交公告发布后成交供应商须提供与网上竞价平台中电子响应文件内容相同的纸质响应文件</w:t>
      </w:r>
      <w:r>
        <w:rPr>
          <w:rStyle w:val="26"/>
          <w:rFonts w:ascii="宋体" w:hAnsi="宋体" w:cs="宋体"/>
          <w:b/>
          <w:bCs/>
          <w:color w:val="auto"/>
          <w:sz w:val="24"/>
          <w:highlight w:val="none"/>
        </w:rPr>
        <w:t xml:space="preserve">1套正本、3套副本，副本可以是正本的完整复印件。纸质响应文件应包含“第一部分 </w:t>
      </w:r>
      <w:r>
        <w:rPr>
          <w:rStyle w:val="26"/>
          <w:rFonts w:hint="eastAsia" w:ascii="宋体" w:hAnsi="宋体" w:cs="宋体"/>
          <w:b/>
          <w:bCs/>
          <w:color w:val="auto"/>
          <w:sz w:val="24"/>
          <w:highlight w:val="none"/>
        </w:rPr>
        <w:t>资格及技术商务部分”和“第二部分</w:t>
      </w:r>
      <w:r>
        <w:rPr>
          <w:rStyle w:val="26"/>
          <w:rFonts w:ascii="宋体" w:hAnsi="宋体" w:cs="宋体"/>
          <w:b/>
          <w:bCs/>
          <w:color w:val="auto"/>
          <w:sz w:val="24"/>
          <w:highlight w:val="none"/>
        </w:rPr>
        <w:t xml:space="preserve"> </w:t>
      </w:r>
      <w:r>
        <w:rPr>
          <w:rStyle w:val="26"/>
          <w:rFonts w:hint="eastAsia" w:ascii="宋体" w:hAnsi="宋体" w:cs="宋体"/>
          <w:b/>
          <w:bCs/>
          <w:color w:val="auto"/>
          <w:sz w:val="24"/>
          <w:highlight w:val="none"/>
        </w:rPr>
        <w:t>报价部分”，纸质响应文件须逐页加盖公章（或骑缝章）且装订成册。</w:t>
      </w:r>
    </w:p>
    <w:p w14:paraId="122A2A88">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51D9EE6">
      <w:pPr>
        <w:pStyle w:val="1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14:paraId="1368D4EF">
      <w:pPr>
        <w:pStyle w:val="1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14:paraId="4F40376F">
      <w:pPr>
        <w:pStyle w:val="12"/>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14:paraId="0B35D350">
      <w:pPr>
        <w:pStyle w:val="12"/>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475E057">
      <w:pPr>
        <w:pStyle w:val="16"/>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6"/>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14:paraId="26844855">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14:paraId="7071C084">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14:paraId="29264F31">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6"/>
          <w:rFonts w:hint="eastAsia"/>
          <w:color w:val="auto"/>
          <w:kern w:val="0"/>
          <w:sz w:val="24"/>
          <w:highlight w:val="none"/>
        </w:rPr>
        <w:t>供应商</w:t>
      </w:r>
      <w:r>
        <w:rPr>
          <w:rFonts w:hint="eastAsia"/>
          <w:color w:val="auto"/>
          <w:kern w:val="2"/>
          <w:sz w:val="24"/>
          <w:highlight w:val="none"/>
        </w:rPr>
        <w:t>假借以他人名义参加竞价或者弄虚作假，骗取成交；</w:t>
      </w:r>
    </w:p>
    <w:p w14:paraId="1393AE3C">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14:paraId="330B8CDB">
      <w:pPr>
        <w:spacing w:line="360" w:lineRule="auto"/>
        <w:jc w:val="center"/>
        <w:rPr>
          <w:rFonts w:ascii="宋体" w:hAnsi="宋体" w:cs="宋体"/>
          <w:b/>
          <w:color w:val="auto"/>
          <w:kern w:val="0"/>
          <w:sz w:val="32"/>
          <w:szCs w:val="32"/>
          <w:highlight w:val="none"/>
        </w:rPr>
      </w:pPr>
    </w:p>
    <w:p w14:paraId="7E8B6DEC">
      <w:pPr>
        <w:jc w:val="center"/>
        <w:rPr>
          <w:rFonts w:ascii="宋体" w:hAnsi="宋体" w:cs="宋体"/>
          <w:b/>
          <w:color w:val="auto"/>
          <w:kern w:val="0"/>
          <w:sz w:val="32"/>
          <w:szCs w:val="32"/>
          <w:highlight w:val="none"/>
        </w:rPr>
      </w:pPr>
    </w:p>
    <w:p w14:paraId="524756B2">
      <w:pPr>
        <w:jc w:val="center"/>
        <w:rPr>
          <w:rFonts w:ascii="宋体" w:hAnsi="宋体" w:cs="宋体"/>
          <w:b/>
          <w:color w:val="auto"/>
          <w:kern w:val="0"/>
          <w:sz w:val="32"/>
          <w:szCs w:val="32"/>
          <w:highlight w:val="none"/>
        </w:rPr>
      </w:pPr>
    </w:p>
    <w:p w14:paraId="57AD815E">
      <w:pPr>
        <w:jc w:val="center"/>
        <w:rPr>
          <w:rFonts w:ascii="宋体" w:hAnsi="宋体" w:cs="宋体"/>
          <w:b/>
          <w:color w:val="auto"/>
          <w:kern w:val="0"/>
          <w:sz w:val="32"/>
          <w:szCs w:val="32"/>
          <w:highlight w:val="none"/>
        </w:rPr>
      </w:pPr>
    </w:p>
    <w:p w14:paraId="1384A15B">
      <w:pPr>
        <w:jc w:val="center"/>
        <w:rPr>
          <w:rFonts w:ascii="宋体" w:hAnsi="宋体" w:cs="宋体"/>
          <w:b/>
          <w:color w:val="auto"/>
          <w:kern w:val="0"/>
          <w:sz w:val="32"/>
          <w:szCs w:val="32"/>
          <w:highlight w:val="none"/>
        </w:rPr>
      </w:pPr>
    </w:p>
    <w:p w14:paraId="283C5E33">
      <w:pPr>
        <w:jc w:val="center"/>
        <w:rPr>
          <w:rFonts w:ascii="宋体" w:hAnsi="宋体" w:cs="宋体"/>
          <w:b/>
          <w:color w:val="auto"/>
          <w:kern w:val="0"/>
          <w:sz w:val="32"/>
          <w:szCs w:val="32"/>
          <w:highlight w:val="none"/>
        </w:rPr>
      </w:pPr>
    </w:p>
    <w:p w14:paraId="5529C673">
      <w:pPr>
        <w:jc w:val="center"/>
        <w:rPr>
          <w:rFonts w:ascii="宋体" w:hAnsi="宋体" w:cs="宋体"/>
          <w:b/>
          <w:color w:val="auto"/>
          <w:kern w:val="0"/>
          <w:sz w:val="32"/>
          <w:szCs w:val="32"/>
          <w:highlight w:val="none"/>
        </w:rPr>
      </w:pPr>
    </w:p>
    <w:p w14:paraId="60F3C5E6">
      <w:pPr>
        <w:jc w:val="center"/>
        <w:rPr>
          <w:rFonts w:ascii="宋体" w:hAnsi="宋体" w:cs="宋体"/>
          <w:b/>
          <w:color w:val="auto"/>
          <w:kern w:val="0"/>
          <w:sz w:val="32"/>
          <w:szCs w:val="32"/>
          <w:highlight w:val="none"/>
        </w:rPr>
      </w:pPr>
    </w:p>
    <w:p w14:paraId="78C8FE3D">
      <w:pPr>
        <w:jc w:val="center"/>
        <w:rPr>
          <w:rFonts w:ascii="宋体" w:hAnsi="宋体" w:cs="宋体"/>
          <w:b/>
          <w:color w:val="auto"/>
          <w:kern w:val="0"/>
          <w:sz w:val="32"/>
          <w:szCs w:val="32"/>
          <w:highlight w:val="none"/>
        </w:rPr>
      </w:pPr>
    </w:p>
    <w:p w14:paraId="6EFCCDF0">
      <w:pPr>
        <w:jc w:val="center"/>
        <w:rPr>
          <w:rFonts w:ascii="宋体" w:hAnsi="宋体" w:cs="宋体"/>
          <w:b/>
          <w:color w:val="auto"/>
          <w:kern w:val="0"/>
          <w:sz w:val="32"/>
          <w:szCs w:val="32"/>
          <w:highlight w:val="none"/>
        </w:rPr>
      </w:pPr>
    </w:p>
    <w:p w14:paraId="6BE031BF">
      <w:pPr>
        <w:jc w:val="center"/>
        <w:rPr>
          <w:rFonts w:ascii="宋体" w:hAnsi="宋体" w:cs="宋体"/>
          <w:b/>
          <w:color w:val="auto"/>
          <w:kern w:val="0"/>
          <w:sz w:val="32"/>
          <w:szCs w:val="32"/>
          <w:highlight w:val="none"/>
        </w:rPr>
      </w:pPr>
    </w:p>
    <w:p w14:paraId="12581819">
      <w:pPr>
        <w:jc w:val="center"/>
        <w:rPr>
          <w:rFonts w:ascii="宋体" w:hAnsi="宋体" w:cs="宋体"/>
          <w:b/>
          <w:color w:val="auto"/>
          <w:kern w:val="0"/>
          <w:sz w:val="32"/>
          <w:szCs w:val="32"/>
          <w:highlight w:val="none"/>
        </w:rPr>
      </w:pPr>
    </w:p>
    <w:p w14:paraId="38AE29E5">
      <w:pPr>
        <w:jc w:val="center"/>
        <w:rPr>
          <w:rFonts w:ascii="宋体" w:hAnsi="宋体" w:cs="宋体"/>
          <w:b/>
          <w:color w:val="auto"/>
          <w:kern w:val="0"/>
          <w:sz w:val="32"/>
          <w:szCs w:val="32"/>
          <w:highlight w:val="none"/>
        </w:rPr>
      </w:pPr>
    </w:p>
    <w:p w14:paraId="2EA8CD4B">
      <w:pPr>
        <w:jc w:val="center"/>
        <w:rPr>
          <w:rFonts w:ascii="宋体" w:hAnsi="宋体" w:cs="宋体"/>
          <w:b/>
          <w:color w:val="auto"/>
          <w:kern w:val="0"/>
          <w:sz w:val="32"/>
          <w:szCs w:val="32"/>
          <w:highlight w:val="none"/>
        </w:rPr>
      </w:pPr>
    </w:p>
    <w:p w14:paraId="7226BB7E">
      <w:pPr>
        <w:jc w:val="center"/>
        <w:rPr>
          <w:rFonts w:ascii="宋体" w:hAnsi="宋体" w:cs="宋体"/>
          <w:b/>
          <w:color w:val="auto"/>
          <w:kern w:val="0"/>
          <w:sz w:val="32"/>
          <w:szCs w:val="32"/>
          <w:highlight w:val="none"/>
        </w:rPr>
      </w:pPr>
    </w:p>
    <w:p w14:paraId="3DDF4ACA">
      <w:pPr>
        <w:jc w:val="center"/>
        <w:rPr>
          <w:rFonts w:ascii="宋体" w:hAnsi="宋体" w:cs="宋体"/>
          <w:b/>
          <w:color w:val="auto"/>
          <w:kern w:val="0"/>
          <w:sz w:val="32"/>
          <w:szCs w:val="32"/>
          <w:highlight w:val="none"/>
        </w:rPr>
      </w:pPr>
    </w:p>
    <w:p w14:paraId="161D473E">
      <w:pPr>
        <w:jc w:val="center"/>
        <w:rPr>
          <w:rFonts w:ascii="宋体" w:hAnsi="宋体" w:cs="宋体"/>
          <w:b/>
          <w:color w:val="auto"/>
          <w:kern w:val="0"/>
          <w:sz w:val="32"/>
          <w:szCs w:val="32"/>
          <w:highlight w:val="none"/>
        </w:rPr>
      </w:pPr>
    </w:p>
    <w:p w14:paraId="56E1D6C7">
      <w:pPr>
        <w:jc w:val="center"/>
        <w:rPr>
          <w:rFonts w:ascii="宋体" w:hAnsi="宋体" w:cs="宋体"/>
          <w:b/>
          <w:color w:val="auto"/>
          <w:kern w:val="0"/>
          <w:sz w:val="32"/>
          <w:szCs w:val="32"/>
          <w:highlight w:val="none"/>
        </w:rPr>
      </w:pPr>
    </w:p>
    <w:p w14:paraId="25D51A46">
      <w:pPr>
        <w:jc w:val="center"/>
        <w:rPr>
          <w:rFonts w:ascii="宋体" w:hAnsi="宋体" w:cs="宋体"/>
          <w:b/>
          <w:color w:val="auto"/>
          <w:kern w:val="0"/>
          <w:sz w:val="32"/>
          <w:szCs w:val="32"/>
          <w:highlight w:val="none"/>
        </w:rPr>
      </w:pPr>
    </w:p>
    <w:p w14:paraId="1D40C6A7">
      <w:pPr>
        <w:jc w:val="center"/>
        <w:rPr>
          <w:rFonts w:ascii="宋体" w:hAnsi="宋体" w:cs="宋体"/>
          <w:b/>
          <w:color w:val="auto"/>
          <w:kern w:val="0"/>
          <w:sz w:val="32"/>
          <w:szCs w:val="32"/>
          <w:highlight w:val="none"/>
        </w:rPr>
      </w:pPr>
    </w:p>
    <w:p w14:paraId="1AA00067">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89E96D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14:paraId="0161C69E">
      <w:pPr>
        <w:pStyle w:val="29"/>
        <w:spacing w:line="360" w:lineRule="auto"/>
        <w:jc w:val="both"/>
        <w:outlineLvl w:val="1"/>
        <w:rPr>
          <w:rFonts w:hint="default" w:ascii="宋体" w:hAnsi="宋体" w:cs="宋体"/>
          <w:b/>
          <w:color w:val="auto"/>
          <w:sz w:val="24"/>
          <w:szCs w:val="24"/>
          <w:highlight w:val="none"/>
        </w:rPr>
      </w:pPr>
      <w:bookmarkStart w:id="1" w:name="_Toc347060296"/>
      <w:bookmarkStart w:id="2" w:name="_Toc327948617"/>
      <w:bookmarkStart w:id="3" w:name="_Toc330567034"/>
      <w:bookmarkStart w:id="4" w:name="_Toc346300367"/>
      <w:r>
        <w:rPr>
          <w:rFonts w:ascii="宋体" w:hAnsi="宋体" w:cs="宋体"/>
          <w:b/>
          <w:color w:val="auto"/>
          <w:kern w:val="0"/>
          <w:sz w:val="24"/>
          <w:szCs w:val="24"/>
          <w:highlight w:val="none"/>
        </w:rPr>
        <w:t>一、项目概况：</w:t>
      </w:r>
    </w:p>
    <w:p w14:paraId="6B4FFDCB">
      <w:pPr>
        <w:widowControl/>
        <w:spacing w:line="360" w:lineRule="auto"/>
        <w:ind w:firstLine="480" w:firstLineChars="200"/>
        <w:jc w:val="left"/>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color w:val="auto"/>
          <w:sz w:val="24"/>
          <w:szCs w:val="24"/>
          <w:highlight w:val="none"/>
        </w:rPr>
        <w:t>项目情况：福建省闽西监狱网络改造项目。</w:t>
      </w:r>
    </w:p>
    <w:p w14:paraId="624C7ACC">
      <w:pPr>
        <w:pStyle w:val="25"/>
        <w:numPr>
          <w:ilvl w:val="0"/>
          <w:numId w:val="0"/>
        </w:numPr>
        <w:tabs>
          <w:tab w:val="left" w:pos="2425"/>
        </w:tabs>
        <w:spacing w:line="400" w:lineRule="exact"/>
        <w:ind w:firstLine="480" w:firstLineChars="200"/>
        <w:outlineLvl w:val="1"/>
        <w:rPr>
          <w:rFonts w:hint="eastAsia" w:hAnsi="宋体" w:cs="宋体"/>
          <w:color w:val="auto"/>
          <w:sz w:val="24"/>
          <w:highlight w:val="none"/>
        </w:rPr>
      </w:pPr>
      <w:r>
        <w:rPr>
          <w:rFonts w:hint="eastAsia" w:hAnsi="宋体" w:cs="宋体"/>
          <w:color w:val="auto"/>
          <w:sz w:val="24"/>
          <w:highlight w:val="none"/>
          <w:lang w:eastAsia="zh-CN"/>
        </w:rPr>
        <w:t>（</w:t>
      </w:r>
      <w:r>
        <w:rPr>
          <w:rFonts w:hint="eastAsia" w:hAnsi="宋体" w:cs="宋体"/>
          <w:color w:val="auto"/>
          <w:sz w:val="24"/>
          <w:highlight w:val="none"/>
          <w:lang w:val="en-US" w:eastAsia="zh-CN"/>
        </w:rPr>
        <w:t>二</w:t>
      </w:r>
      <w:r>
        <w:rPr>
          <w:rFonts w:hint="eastAsia" w:hAnsi="宋体" w:cs="宋体"/>
          <w:color w:val="auto"/>
          <w:sz w:val="24"/>
          <w:highlight w:val="none"/>
          <w:lang w:eastAsia="zh-CN"/>
        </w:rPr>
        <w:t>）</w:t>
      </w:r>
      <w:r>
        <w:rPr>
          <w:rFonts w:hint="eastAsia" w:hAnsi="宋体" w:cs="宋体"/>
          <w:color w:val="auto"/>
          <w:sz w:val="24"/>
          <w:highlight w:val="none"/>
        </w:rPr>
        <w:t>采购</w:t>
      </w:r>
      <w:r>
        <w:rPr>
          <w:rFonts w:hint="eastAsia" w:hAnsi="宋体" w:cs="宋体"/>
          <w:color w:val="auto"/>
          <w:sz w:val="24"/>
          <w:highlight w:val="none"/>
          <w:lang w:val="en-US" w:eastAsia="zh-CN"/>
        </w:rPr>
        <w:t>标的一览表</w:t>
      </w:r>
    </w:p>
    <w:p w14:paraId="078CCEA6">
      <w:pPr>
        <w:pStyle w:val="25"/>
        <w:numPr>
          <w:ilvl w:val="0"/>
          <w:numId w:val="0"/>
        </w:numPr>
        <w:tabs>
          <w:tab w:val="left" w:pos="2425"/>
        </w:tabs>
        <w:spacing w:line="400" w:lineRule="exact"/>
        <w:jc w:val="right"/>
        <w:outlineLvl w:val="1"/>
        <w:rPr>
          <w:rFonts w:hint="eastAsia" w:hAnsi="宋体" w:cs="宋体"/>
          <w:color w:val="auto"/>
          <w:sz w:val="24"/>
          <w:highlight w:val="none"/>
        </w:rPr>
      </w:pPr>
      <w:r>
        <w:rPr>
          <w:rFonts w:hint="eastAsia" w:ascii="宋体" w:hAnsi="宋体"/>
          <w:color w:val="auto"/>
          <w:sz w:val="24"/>
          <w:szCs w:val="24"/>
          <w:highlight w:val="none"/>
        </w:rPr>
        <w:t>金额单位：人民币/元</w:t>
      </w:r>
    </w:p>
    <w:tbl>
      <w:tblPr>
        <w:tblStyle w:val="20"/>
        <w:tblW w:w="10098" w:type="dxa"/>
        <w:tblInd w:w="0" w:type="dxa"/>
        <w:tblLayout w:type="fixed"/>
        <w:tblCellMar>
          <w:top w:w="0" w:type="dxa"/>
          <w:left w:w="108" w:type="dxa"/>
          <w:bottom w:w="0" w:type="dxa"/>
          <w:right w:w="108" w:type="dxa"/>
        </w:tblCellMar>
      </w:tblPr>
      <w:tblGrid>
        <w:gridCol w:w="823"/>
        <w:gridCol w:w="2777"/>
        <w:gridCol w:w="878"/>
        <w:gridCol w:w="1720"/>
        <w:gridCol w:w="768"/>
        <w:gridCol w:w="732"/>
        <w:gridCol w:w="1116"/>
        <w:gridCol w:w="1284"/>
      </w:tblGrid>
      <w:tr w14:paraId="788C513E">
        <w:tblPrEx>
          <w:tblCellMar>
            <w:top w:w="0" w:type="dxa"/>
            <w:left w:w="108" w:type="dxa"/>
            <w:bottom w:w="0" w:type="dxa"/>
            <w:right w:w="108" w:type="dxa"/>
          </w:tblCellMar>
        </w:tblPrEx>
        <w:trPr>
          <w:trHeight w:val="629" w:hRule="atLeast"/>
        </w:trPr>
        <w:tc>
          <w:tcPr>
            <w:tcW w:w="823" w:type="dxa"/>
            <w:tcBorders>
              <w:top w:val="single" w:color="auto" w:sz="4" w:space="0"/>
              <w:left w:val="single" w:color="000000" w:sz="4" w:space="0"/>
              <w:bottom w:val="single" w:color="000000" w:sz="4" w:space="0"/>
              <w:right w:val="single" w:color="auto" w:sz="4" w:space="0"/>
            </w:tcBorders>
            <w:vAlign w:val="center"/>
          </w:tcPr>
          <w:p w14:paraId="6BA64080">
            <w:pPr>
              <w:widowControl/>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合同包号</w:t>
            </w:r>
          </w:p>
        </w:tc>
        <w:tc>
          <w:tcPr>
            <w:tcW w:w="2777" w:type="dxa"/>
            <w:tcBorders>
              <w:top w:val="single" w:color="auto" w:sz="4" w:space="0"/>
              <w:left w:val="single" w:color="auto" w:sz="4" w:space="0"/>
              <w:bottom w:val="single" w:color="000000" w:sz="4" w:space="0"/>
              <w:right w:val="single" w:color="000000" w:sz="4" w:space="0"/>
            </w:tcBorders>
            <w:vAlign w:val="center"/>
          </w:tcPr>
          <w:p w14:paraId="65F1E0B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878" w:type="dxa"/>
            <w:tcBorders>
              <w:top w:val="single" w:color="auto" w:sz="4" w:space="0"/>
              <w:left w:val="single" w:color="auto" w:sz="4" w:space="0"/>
              <w:bottom w:val="single" w:color="000000" w:sz="4" w:space="0"/>
              <w:right w:val="single" w:color="000000" w:sz="4" w:space="0"/>
            </w:tcBorders>
            <w:vAlign w:val="center"/>
          </w:tcPr>
          <w:p w14:paraId="4015D46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品目号</w:t>
            </w:r>
          </w:p>
        </w:tc>
        <w:tc>
          <w:tcPr>
            <w:tcW w:w="1720" w:type="dxa"/>
            <w:tcBorders>
              <w:top w:val="single" w:color="auto" w:sz="4" w:space="0"/>
              <w:left w:val="single" w:color="000000" w:sz="4" w:space="0"/>
              <w:bottom w:val="single" w:color="000000" w:sz="4" w:space="0"/>
              <w:right w:val="single" w:color="auto" w:sz="4" w:space="0"/>
            </w:tcBorders>
            <w:vAlign w:val="center"/>
          </w:tcPr>
          <w:p w14:paraId="7942576B">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货物名称</w:t>
            </w:r>
          </w:p>
        </w:tc>
        <w:tc>
          <w:tcPr>
            <w:tcW w:w="768" w:type="dxa"/>
            <w:tcBorders>
              <w:top w:val="single" w:color="auto" w:sz="4" w:space="0"/>
              <w:left w:val="single" w:color="000000" w:sz="4" w:space="0"/>
              <w:bottom w:val="single" w:color="000000" w:sz="4" w:space="0"/>
              <w:right w:val="single" w:color="000000" w:sz="4" w:space="0"/>
            </w:tcBorders>
            <w:vAlign w:val="center"/>
          </w:tcPr>
          <w:p w14:paraId="698328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732" w:type="dxa"/>
            <w:tcBorders>
              <w:top w:val="single" w:color="auto" w:sz="4" w:space="0"/>
              <w:left w:val="single" w:color="000000" w:sz="4" w:space="0"/>
              <w:bottom w:val="single" w:color="000000" w:sz="4" w:space="0"/>
              <w:right w:val="single" w:color="000000" w:sz="4" w:space="0"/>
            </w:tcBorders>
            <w:vAlign w:val="center"/>
          </w:tcPr>
          <w:p w14:paraId="0E993D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1116" w:type="dxa"/>
            <w:tcBorders>
              <w:top w:val="single" w:color="auto" w:sz="4" w:space="0"/>
              <w:left w:val="single" w:color="000000" w:sz="4" w:space="0"/>
              <w:bottom w:val="single" w:color="000000" w:sz="4" w:space="0"/>
              <w:right w:val="single" w:color="000000" w:sz="4" w:space="0"/>
            </w:tcBorders>
            <w:vAlign w:val="center"/>
          </w:tcPr>
          <w:p w14:paraId="001C59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最高限</w:t>
            </w:r>
            <w:r>
              <w:rPr>
                <w:rFonts w:hint="eastAsia" w:asciiTheme="minorEastAsia" w:hAnsiTheme="minorEastAsia" w:eastAsiaTheme="minorEastAsia" w:cstheme="minorEastAsia"/>
                <w:color w:val="auto"/>
                <w:kern w:val="0"/>
                <w:sz w:val="24"/>
                <w:szCs w:val="24"/>
                <w:highlight w:val="none"/>
                <w:lang w:bidi="ar"/>
              </w:rPr>
              <w:t>单价</w:t>
            </w:r>
          </w:p>
        </w:tc>
        <w:tc>
          <w:tcPr>
            <w:tcW w:w="1284" w:type="dxa"/>
            <w:tcBorders>
              <w:top w:val="single" w:color="auto" w:sz="4" w:space="0"/>
              <w:left w:val="single" w:color="000000" w:sz="4" w:space="0"/>
              <w:bottom w:val="single" w:color="000000" w:sz="4" w:space="0"/>
              <w:right w:val="single" w:color="000000" w:sz="4" w:space="0"/>
            </w:tcBorders>
            <w:vAlign w:val="center"/>
          </w:tcPr>
          <w:p w14:paraId="7AA1BA9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是否允许进口产品</w:t>
            </w:r>
          </w:p>
        </w:tc>
      </w:tr>
      <w:tr w14:paraId="4547B889">
        <w:tblPrEx>
          <w:tblCellMar>
            <w:top w:w="0" w:type="dxa"/>
            <w:left w:w="108" w:type="dxa"/>
            <w:bottom w:w="0" w:type="dxa"/>
            <w:right w:w="108" w:type="dxa"/>
          </w:tblCellMar>
        </w:tblPrEx>
        <w:trPr>
          <w:trHeight w:val="436" w:hRule="atLeast"/>
        </w:trPr>
        <w:tc>
          <w:tcPr>
            <w:tcW w:w="823" w:type="dxa"/>
            <w:vMerge w:val="restart"/>
            <w:tcBorders>
              <w:top w:val="single" w:color="000000" w:sz="4" w:space="0"/>
              <w:left w:val="single" w:color="000000" w:sz="4" w:space="0"/>
              <w:right w:val="single" w:color="auto" w:sz="4" w:space="0"/>
            </w:tcBorders>
            <w:vAlign w:val="center"/>
          </w:tcPr>
          <w:p w14:paraId="41B9CF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777" w:type="dxa"/>
            <w:tcBorders>
              <w:top w:val="single" w:color="000000" w:sz="4" w:space="0"/>
              <w:left w:val="single" w:color="auto" w:sz="4" w:space="0"/>
              <w:bottom w:val="single" w:color="000000" w:sz="4" w:space="0"/>
              <w:right w:val="single" w:color="000000" w:sz="4" w:space="0"/>
            </w:tcBorders>
            <w:vAlign w:val="center"/>
          </w:tcPr>
          <w:p w14:paraId="7E80942E">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A02010202交换设备</w:t>
            </w:r>
          </w:p>
        </w:tc>
        <w:tc>
          <w:tcPr>
            <w:tcW w:w="878" w:type="dxa"/>
            <w:tcBorders>
              <w:top w:val="single" w:color="000000" w:sz="4" w:space="0"/>
              <w:left w:val="single" w:color="auto" w:sz="4" w:space="0"/>
              <w:bottom w:val="single" w:color="000000" w:sz="4" w:space="0"/>
              <w:right w:val="single" w:color="000000" w:sz="4" w:space="0"/>
            </w:tcBorders>
            <w:vAlign w:val="center"/>
          </w:tcPr>
          <w:p w14:paraId="44F2E93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720" w:type="dxa"/>
            <w:tcBorders>
              <w:top w:val="single" w:color="000000" w:sz="4" w:space="0"/>
              <w:left w:val="single" w:color="000000" w:sz="4" w:space="0"/>
              <w:bottom w:val="single" w:color="000000" w:sz="4" w:space="0"/>
              <w:right w:val="single" w:color="auto" w:sz="4" w:space="0"/>
            </w:tcBorders>
            <w:vAlign w:val="center"/>
          </w:tcPr>
          <w:p w14:paraId="026416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核心交换机</w:t>
            </w:r>
          </w:p>
        </w:tc>
        <w:tc>
          <w:tcPr>
            <w:tcW w:w="768" w:type="dxa"/>
            <w:tcBorders>
              <w:top w:val="single" w:color="000000" w:sz="4" w:space="0"/>
              <w:left w:val="single" w:color="000000" w:sz="4" w:space="0"/>
              <w:bottom w:val="single" w:color="000000" w:sz="4" w:space="0"/>
              <w:right w:val="single" w:color="000000" w:sz="4" w:space="0"/>
            </w:tcBorders>
            <w:vAlign w:val="center"/>
          </w:tcPr>
          <w:p w14:paraId="7806D98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732" w:type="dxa"/>
            <w:tcBorders>
              <w:top w:val="single" w:color="000000" w:sz="4" w:space="0"/>
              <w:left w:val="single" w:color="000000" w:sz="4" w:space="0"/>
              <w:bottom w:val="single" w:color="000000" w:sz="4" w:space="0"/>
              <w:right w:val="single" w:color="000000" w:sz="4" w:space="0"/>
            </w:tcBorders>
            <w:vAlign w:val="center"/>
          </w:tcPr>
          <w:p w14:paraId="16F317FE">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vAlign w:val="center"/>
          </w:tcPr>
          <w:p w14:paraId="0616DD14">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221000</w:t>
            </w:r>
          </w:p>
        </w:tc>
        <w:tc>
          <w:tcPr>
            <w:tcW w:w="1284" w:type="dxa"/>
            <w:vMerge w:val="restart"/>
            <w:tcBorders>
              <w:top w:val="single" w:color="000000" w:sz="4" w:space="0"/>
              <w:left w:val="single" w:color="000000" w:sz="4" w:space="0"/>
              <w:right w:val="single" w:color="000000" w:sz="4" w:space="0"/>
            </w:tcBorders>
            <w:vAlign w:val="center"/>
          </w:tcPr>
          <w:p w14:paraId="6B383FEC">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否</w:t>
            </w:r>
          </w:p>
          <w:p w14:paraId="394CC98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9A59647">
        <w:tblPrEx>
          <w:tblCellMar>
            <w:top w:w="0" w:type="dxa"/>
            <w:left w:w="108" w:type="dxa"/>
            <w:bottom w:w="0" w:type="dxa"/>
            <w:right w:w="108" w:type="dxa"/>
          </w:tblCellMar>
        </w:tblPrEx>
        <w:trPr>
          <w:trHeight w:val="510" w:hRule="atLeast"/>
        </w:trPr>
        <w:tc>
          <w:tcPr>
            <w:tcW w:w="823" w:type="dxa"/>
            <w:vMerge w:val="continue"/>
            <w:tcBorders>
              <w:left w:val="single" w:color="000000" w:sz="4" w:space="0"/>
              <w:right w:val="single" w:color="auto" w:sz="4" w:space="0"/>
            </w:tcBorders>
            <w:vAlign w:val="center"/>
          </w:tcPr>
          <w:p w14:paraId="36702FC8">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777" w:type="dxa"/>
            <w:tcBorders>
              <w:top w:val="single" w:color="000000" w:sz="4" w:space="0"/>
              <w:left w:val="single" w:color="auto" w:sz="4" w:space="0"/>
              <w:bottom w:val="single" w:color="000000" w:sz="4" w:space="0"/>
              <w:right w:val="single" w:color="000000" w:sz="4" w:space="0"/>
            </w:tcBorders>
            <w:vAlign w:val="center"/>
          </w:tcPr>
          <w:p w14:paraId="617741B0">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A02010303</w:t>
            </w:r>
            <w:r>
              <w:rPr>
                <w:rFonts w:hint="eastAsia" w:asciiTheme="minorEastAsia" w:hAnsiTheme="minorEastAsia" w:eastAsiaTheme="minorEastAsia" w:cstheme="minorEastAsia"/>
                <w:color w:val="auto"/>
                <w:sz w:val="24"/>
                <w:szCs w:val="24"/>
                <w:highlight w:val="none"/>
              </w:rPr>
              <w:t>入侵防御设备</w:t>
            </w:r>
          </w:p>
        </w:tc>
        <w:tc>
          <w:tcPr>
            <w:tcW w:w="878" w:type="dxa"/>
            <w:tcBorders>
              <w:top w:val="single" w:color="000000" w:sz="4" w:space="0"/>
              <w:left w:val="single" w:color="auto" w:sz="4" w:space="0"/>
              <w:bottom w:val="single" w:color="000000" w:sz="4" w:space="0"/>
              <w:right w:val="single" w:color="000000" w:sz="4" w:space="0"/>
            </w:tcBorders>
            <w:vAlign w:val="center"/>
          </w:tcPr>
          <w:p w14:paraId="4DA2E87A">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1720" w:type="dxa"/>
            <w:tcBorders>
              <w:top w:val="single" w:color="000000" w:sz="4" w:space="0"/>
              <w:left w:val="single" w:color="000000" w:sz="4" w:space="0"/>
              <w:bottom w:val="single" w:color="000000" w:sz="4" w:space="0"/>
              <w:right w:val="single" w:color="auto" w:sz="4" w:space="0"/>
            </w:tcBorders>
            <w:vAlign w:val="center"/>
          </w:tcPr>
          <w:p w14:paraId="7589F6A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入侵防御系统</w:t>
            </w:r>
          </w:p>
        </w:tc>
        <w:tc>
          <w:tcPr>
            <w:tcW w:w="768" w:type="dxa"/>
            <w:tcBorders>
              <w:top w:val="single" w:color="000000" w:sz="4" w:space="0"/>
              <w:left w:val="single" w:color="000000" w:sz="4" w:space="0"/>
              <w:bottom w:val="single" w:color="000000" w:sz="4" w:space="0"/>
              <w:right w:val="single" w:color="000000" w:sz="4" w:space="0"/>
            </w:tcBorders>
            <w:vAlign w:val="center"/>
          </w:tcPr>
          <w:p w14:paraId="1D69B4F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732" w:type="dxa"/>
            <w:tcBorders>
              <w:top w:val="single" w:color="000000" w:sz="4" w:space="0"/>
              <w:left w:val="single" w:color="000000" w:sz="4" w:space="0"/>
              <w:bottom w:val="single" w:color="000000" w:sz="4" w:space="0"/>
              <w:right w:val="single" w:color="000000" w:sz="4" w:space="0"/>
            </w:tcBorders>
            <w:vAlign w:val="center"/>
          </w:tcPr>
          <w:p w14:paraId="00BA7A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116" w:type="dxa"/>
            <w:tcBorders>
              <w:top w:val="single" w:color="000000" w:sz="4" w:space="0"/>
              <w:left w:val="single" w:color="000000" w:sz="4" w:space="0"/>
              <w:bottom w:val="single" w:color="000000" w:sz="4" w:space="0"/>
              <w:right w:val="single" w:color="000000" w:sz="4" w:space="0"/>
            </w:tcBorders>
            <w:vAlign w:val="center"/>
          </w:tcPr>
          <w:p w14:paraId="52E382A6">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135800</w:t>
            </w:r>
          </w:p>
        </w:tc>
        <w:tc>
          <w:tcPr>
            <w:tcW w:w="1284" w:type="dxa"/>
            <w:vMerge w:val="continue"/>
            <w:tcBorders>
              <w:left w:val="single" w:color="000000" w:sz="4" w:space="0"/>
              <w:right w:val="single" w:color="000000" w:sz="4" w:space="0"/>
            </w:tcBorders>
            <w:vAlign w:val="center"/>
          </w:tcPr>
          <w:p w14:paraId="344E3D87">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29C618DA">
        <w:tblPrEx>
          <w:tblCellMar>
            <w:top w:w="0" w:type="dxa"/>
            <w:left w:w="108" w:type="dxa"/>
            <w:bottom w:w="0" w:type="dxa"/>
            <w:right w:w="108" w:type="dxa"/>
          </w:tblCellMar>
        </w:tblPrEx>
        <w:trPr>
          <w:trHeight w:val="498" w:hRule="atLeast"/>
        </w:trPr>
        <w:tc>
          <w:tcPr>
            <w:tcW w:w="823" w:type="dxa"/>
            <w:vMerge w:val="continue"/>
            <w:tcBorders>
              <w:left w:val="single" w:color="000000" w:sz="4" w:space="0"/>
              <w:right w:val="single" w:color="auto" w:sz="4" w:space="0"/>
            </w:tcBorders>
            <w:vAlign w:val="center"/>
          </w:tcPr>
          <w:p w14:paraId="7919F236">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777" w:type="dxa"/>
            <w:tcBorders>
              <w:top w:val="single" w:color="000000" w:sz="4" w:space="0"/>
              <w:left w:val="single" w:color="auto" w:sz="4" w:space="0"/>
              <w:bottom w:val="single" w:color="000000" w:sz="4" w:space="0"/>
              <w:right w:val="single" w:color="000000" w:sz="4" w:space="0"/>
            </w:tcBorders>
            <w:vAlign w:val="center"/>
          </w:tcPr>
          <w:p w14:paraId="3BBEE21E">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A02010214接口适配器</w:t>
            </w:r>
          </w:p>
        </w:tc>
        <w:tc>
          <w:tcPr>
            <w:tcW w:w="878" w:type="dxa"/>
            <w:tcBorders>
              <w:top w:val="single" w:color="000000" w:sz="4" w:space="0"/>
              <w:left w:val="single" w:color="auto" w:sz="4" w:space="0"/>
              <w:bottom w:val="single" w:color="000000" w:sz="4" w:space="0"/>
              <w:right w:val="single" w:color="000000" w:sz="4" w:space="0"/>
            </w:tcBorders>
            <w:vAlign w:val="center"/>
          </w:tcPr>
          <w:p w14:paraId="4CF10F65">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720" w:type="dxa"/>
            <w:tcBorders>
              <w:top w:val="single" w:color="000000" w:sz="4" w:space="0"/>
              <w:left w:val="single" w:color="000000" w:sz="4" w:space="0"/>
              <w:bottom w:val="single" w:color="000000" w:sz="4" w:space="0"/>
              <w:right w:val="single" w:color="auto" w:sz="4" w:space="0"/>
            </w:tcBorders>
            <w:vAlign w:val="center"/>
          </w:tcPr>
          <w:p w14:paraId="7986AB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单模</w:t>
            </w:r>
            <w:r>
              <w:rPr>
                <w:rFonts w:hint="eastAsia" w:asciiTheme="minorEastAsia" w:hAnsiTheme="minorEastAsia" w:eastAsiaTheme="minorEastAsia" w:cstheme="minorEastAsia"/>
                <w:color w:val="auto"/>
                <w:sz w:val="24"/>
                <w:szCs w:val="24"/>
                <w:highlight w:val="none"/>
                <w:lang w:eastAsia="zh-CN"/>
              </w:rPr>
              <w:t>）</w:t>
            </w:r>
          </w:p>
        </w:tc>
        <w:tc>
          <w:tcPr>
            <w:tcW w:w="768" w:type="dxa"/>
            <w:tcBorders>
              <w:top w:val="single" w:color="000000" w:sz="4" w:space="0"/>
              <w:left w:val="single" w:color="000000" w:sz="4" w:space="0"/>
              <w:bottom w:val="single" w:color="000000" w:sz="4" w:space="0"/>
              <w:right w:val="single" w:color="000000" w:sz="4" w:space="0"/>
            </w:tcBorders>
            <w:vAlign w:val="center"/>
          </w:tcPr>
          <w:p w14:paraId="2A983E10">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70D7">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96</w:t>
            </w:r>
          </w:p>
        </w:tc>
        <w:tc>
          <w:tcPr>
            <w:tcW w:w="1116" w:type="dxa"/>
            <w:tcBorders>
              <w:top w:val="single" w:color="000000" w:sz="4" w:space="0"/>
              <w:left w:val="single" w:color="000000" w:sz="4" w:space="0"/>
              <w:bottom w:val="single" w:color="000000" w:sz="4" w:space="0"/>
              <w:right w:val="single" w:color="000000" w:sz="4" w:space="0"/>
            </w:tcBorders>
            <w:vAlign w:val="center"/>
          </w:tcPr>
          <w:p w14:paraId="39F89703">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548</w:t>
            </w:r>
          </w:p>
        </w:tc>
        <w:tc>
          <w:tcPr>
            <w:tcW w:w="1284" w:type="dxa"/>
            <w:vMerge w:val="continue"/>
            <w:tcBorders>
              <w:left w:val="single" w:color="000000" w:sz="4" w:space="0"/>
              <w:right w:val="single" w:color="000000" w:sz="4" w:space="0"/>
            </w:tcBorders>
            <w:vAlign w:val="center"/>
          </w:tcPr>
          <w:p w14:paraId="1D0DC728">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A9A5F8B">
        <w:tblPrEx>
          <w:tblCellMar>
            <w:top w:w="0" w:type="dxa"/>
            <w:left w:w="108" w:type="dxa"/>
            <w:bottom w:w="0" w:type="dxa"/>
            <w:right w:w="108" w:type="dxa"/>
          </w:tblCellMar>
        </w:tblPrEx>
        <w:trPr>
          <w:trHeight w:val="534" w:hRule="atLeast"/>
        </w:trPr>
        <w:tc>
          <w:tcPr>
            <w:tcW w:w="823" w:type="dxa"/>
            <w:vMerge w:val="continue"/>
            <w:tcBorders>
              <w:left w:val="single" w:color="000000" w:sz="4" w:space="0"/>
              <w:right w:val="single" w:color="auto" w:sz="4" w:space="0"/>
            </w:tcBorders>
            <w:vAlign w:val="center"/>
          </w:tcPr>
          <w:p w14:paraId="14136A92">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777" w:type="dxa"/>
            <w:tcBorders>
              <w:top w:val="single" w:color="000000" w:sz="4" w:space="0"/>
              <w:left w:val="single" w:color="auto" w:sz="4" w:space="0"/>
              <w:bottom w:val="single" w:color="000000" w:sz="4" w:space="0"/>
              <w:right w:val="single" w:color="000000" w:sz="4" w:space="0"/>
            </w:tcBorders>
            <w:vAlign w:val="center"/>
          </w:tcPr>
          <w:p w14:paraId="7972BEB6">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A02010214接口适配器</w:t>
            </w:r>
          </w:p>
        </w:tc>
        <w:tc>
          <w:tcPr>
            <w:tcW w:w="878" w:type="dxa"/>
            <w:tcBorders>
              <w:top w:val="single" w:color="000000" w:sz="4" w:space="0"/>
              <w:left w:val="single" w:color="auto" w:sz="4" w:space="0"/>
              <w:bottom w:val="single" w:color="000000" w:sz="4" w:space="0"/>
              <w:right w:val="single" w:color="000000" w:sz="4" w:space="0"/>
            </w:tcBorders>
            <w:vAlign w:val="center"/>
          </w:tcPr>
          <w:p w14:paraId="77E255AF">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1720" w:type="dxa"/>
            <w:tcBorders>
              <w:top w:val="single" w:color="000000" w:sz="4" w:space="0"/>
              <w:left w:val="single" w:color="000000" w:sz="4" w:space="0"/>
              <w:bottom w:val="single" w:color="000000" w:sz="4" w:space="0"/>
              <w:right w:val="single" w:color="auto" w:sz="4" w:space="0"/>
            </w:tcBorders>
            <w:vAlign w:val="center"/>
          </w:tcPr>
          <w:p w14:paraId="4F2A4E8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多模</w:t>
            </w:r>
            <w:r>
              <w:rPr>
                <w:rFonts w:hint="eastAsia" w:asciiTheme="minorEastAsia" w:hAnsiTheme="minorEastAsia" w:eastAsiaTheme="minorEastAsia" w:cstheme="minorEastAsia"/>
                <w:color w:val="auto"/>
                <w:sz w:val="24"/>
                <w:szCs w:val="24"/>
                <w:highlight w:val="none"/>
                <w:lang w:eastAsia="zh-CN"/>
              </w:rPr>
              <w:t>）</w:t>
            </w:r>
          </w:p>
        </w:tc>
        <w:tc>
          <w:tcPr>
            <w:tcW w:w="768" w:type="dxa"/>
            <w:tcBorders>
              <w:top w:val="single" w:color="000000" w:sz="4" w:space="0"/>
              <w:left w:val="single" w:color="000000" w:sz="4" w:space="0"/>
              <w:bottom w:val="single" w:color="000000" w:sz="4" w:space="0"/>
              <w:right w:val="single" w:color="000000" w:sz="4" w:space="0"/>
            </w:tcBorders>
            <w:vAlign w:val="center"/>
          </w:tcPr>
          <w:p w14:paraId="2B2697EC">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5D22">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c>
          <w:tcPr>
            <w:tcW w:w="1116" w:type="dxa"/>
            <w:tcBorders>
              <w:top w:val="single" w:color="000000" w:sz="4" w:space="0"/>
              <w:left w:val="single" w:color="000000" w:sz="4" w:space="0"/>
              <w:bottom w:val="single" w:color="000000" w:sz="4" w:space="0"/>
              <w:right w:val="single" w:color="000000" w:sz="4" w:space="0"/>
            </w:tcBorders>
            <w:vAlign w:val="center"/>
          </w:tcPr>
          <w:p w14:paraId="2527A6C5">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420</w:t>
            </w:r>
          </w:p>
        </w:tc>
        <w:tc>
          <w:tcPr>
            <w:tcW w:w="1284" w:type="dxa"/>
            <w:vMerge w:val="continue"/>
            <w:tcBorders>
              <w:left w:val="single" w:color="000000" w:sz="4" w:space="0"/>
              <w:right w:val="single" w:color="000000" w:sz="4" w:space="0"/>
            </w:tcBorders>
            <w:vAlign w:val="center"/>
          </w:tcPr>
          <w:p w14:paraId="3444EB3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9889705">
        <w:tblPrEx>
          <w:tblCellMar>
            <w:top w:w="0" w:type="dxa"/>
            <w:left w:w="108" w:type="dxa"/>
            <w:bottom w:w="0" w:type="dxa"/>
            <w:right w:w="108" w:type="dxa"/>
          </w:tblCellMar>
        </w:tblPrEx>
        <w:trPr>
          <w:trHeight w:val="707" w:hRule="atLeast"/>
        </w:trPr>
        <w:tc>
          <w:tcPr>
            <w:tcW w:w="823" w:type="dxa"/>
            <w:vMerge w:val="continue"/>
            <w:tcBorders>
              <w:left w:val="single" w:color="000000" w:sz="4" w:space="0"/>
              <w:right w:val="single" w:color="auto" w:sz="4" w:space="0"/>
            </w:tcBorders>
            <w:vAlign w:val="center"/>
          </w:tcPr>
          <w:p w14:paraId="51BBB6B0">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777" w:type="dxa"/>
            <w:tcBorders>
              <w:top w:val="single" w:color="000000" w:sz="4" w:space="0"/>
              <w:left w:val="single" w:color="auto" w:sz="4" w:space="0"/>
              <w:bottom w:val="single" w:color="000000" w:sz="4" w:space="0"/>
              <w:right w:val="single" w:color="000000" w:sz="4" w:space="0"/>
            </w:tcBorders>
            <w:vAlign w:val="center"/>
          </w:tcPr>
          <w:p w14:paraId="1F91CD33">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A02010299其他网络设备</w:t>
            </w:r>
          </w:p>
        </w:tc>
        <w:tc>
          <w:tcPr>
            <w:tcW w:w="878" w:type="dxa"/>
            <w:tcBorders>
              <w:top w:val="single" w:color="000000" w:sz="4" w:space="0"/>
              <w:left w:val="single" w:color="auto" w:sz="4" w:space="0"/>
              <w:bottom w:val="single" w:color="000000" w:sz="4" w:space="0"/>
              <w:right w:val="single" w:color="000000" w:sz="4" w:space="0"/>
            </w:tcBorders>
            <w:vAlign w:val="center"/>
          </w:tcPr>
          <w:p w14:paraId="29536F80">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1720" w:type="dxa"/>
            <w:tcBorders>
              <w:top w:val="single" w:color="000000" w:sz="4" w:space="0"/>
              <w:left w:val="single" w:color="000000" w:sz="4" w:space="0"/>
              <w:bottom w:val="single" w:color="000000" w:sz="4" w:space="0"/>
              <w:right w:val="single" w:color="auto" w:sz="4" w:space="0"/>
            </w:tcBorders>
            <w:vAlign w:val="center"/>
          </w:tcPr>
          <w:p w14:paraId="252A6B5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5米</w:t>
            </w:r>
            <w:r>
              <w:rPr>
                <w:rFonts w:hint="eastAsia" w:asciiTheme="minorEastAsia" w:hAnsiTheme="minorEastAsia" w:eastAsiaTheme="minorEastAsia" w:cstheme="minorEastAsia"/>
                <w:color w:val="auto"/>
                <w:sz w:val="24"/>
                <w:szCs w:val="24"/>
                <w:highlight w:val="none"/>
                <w:lang w:eastAsia="zh-CN"/>
              </w:rPr>
              <w:t>）</w:t>
            </w:r>
          </w:p>
        </w:tc>
        <w:tc>
          <w:tcPr>
            <w:tcW w:w="768" w:type="dxa"/>
            <w:tcBorders>
              <w:top w:val="single" w:color="000000" w:sz="4" w:space="0"/>
              <w:left w:val="single" w:color="000000" w:sz="4" w:space="0"/>
              <w:bottom w:val="single" w:color="000000" w:sz="4" w:space="0"/>
              <w:right w:val="single" w:color="000000" w:sz="4" w:space="0"/>
            </w:tcBorders>
            <w:vAlign w:val="center"/>
          </w:tcPr>
          <w:p w14:paraId="7D6CEA4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AB3">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96</w:t>
            </w:r>
          </w:p>
        </w:tc>
        <w:tc>
          <w:tcPr>
            <w:tcW w:w="1116" w:type="dxa"/>
            <w:tcBorders>
              <w:top w:val="single" w:color="000000" w:sz="4" w:space="0"/>
              <w:left w:val="single" w:color="000000" w:sz="4" w:space="0"/>
              <w:bottom w:val="single" w:color="000000" w:sz="4" w:space="0"/>
              <w:right w:val="single" w:color="000000" w:sz="4" w:space="0"/>
            </w:tcBorders>
            <w:vAlign w:val="center"/>
          </w:tcPr>
          <w:p w14:paraId="797EF7C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1284" w:type="dxa"/>
            <w:vMerge w:val="continue"/>
            <w:tcBorders>
              <w:left w:val="single" w:color="000000" w:sz="4" w:space="0"/>
              <w:right w:val="single" w:color="000000" w:sz="4" w:space="0"/>
            </w:tcBorders>
            <w:vAlign w:val="center"/>
          </w:tcPr>
          <w:p w14:paraId="419E2F17">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61DDAED7">
        <w:tblPrEx>
          <w:tblCellMar>
            <w:top w:w="0" w:type="dxa"/>
            <w:left w:w="108" w:type="dxa"/>
            <w:bottom w:w="0" w:type="dxa"/>
            <w:right w:w="108" w:type="dxa"/>
          </w:tblCellMar>
        </w:tblPrEx>
        <w:trPr>
          <w:trHeight w:val="629" w:hRule="atLeast"/>
        </w:trPr>
        <w:tc>
          <w:tcPr>
            <w:tcW w:w="823" w:type="dxa"/>
            <w:vMerge w:val="continue"/>
            <w:tcBorders>
              <w:left w:val="single" w:color="000000" w:sz="4" w:space="0"/>
              <w:right w:val="single" w:color="auto" w:sz="4" w:space="0"/>
            </w:tcBorders>
            <w:vAlign w:val="center"/>
          </w:tcPr>
          <w:p w14:paraId="051E06B2">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777" w:type="dxa"/>
            <w:tcBorders>
              <w:top w:val="single" w:color="000000" w:sz="4" w:space="0"/>
              <w:left w:val="single" w:color="auto" w:sz="4" w:space="0"/>
              <w:bottom w:val="single" w:color="000000" w:sz="4" w:space="0"/>
              <w:right w:val="single" w:color="000000" w:sz="4" w:space="0"/>
            </w:tcBorders>
            <w:vAlign w:val="center"/>
          </w:tcPr>
          <w:p w14:paraId="6A5F0B9F">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A02010299其他网络设备</w:t>
            </w:r>
          </w:p>
        </w:tc>
        <w:tc>
          <w:tcPr>
            <w:tcW w:w="878" w:type="dxa"/>
            <w:tcBorders>
              <w:top w:val="single" w:color="000000" w:sz="4" w:space="0"/>
              <w:left w:val="single" w:color="auto" w:sz="4" w:space="0"/>
              <w:bottom w:val="single" w:color="000000" w:sz="4" w:space="0"/>
              <w:right w:val="single" w:color="000000" w:sz="4" w:space="0"/>
            </w:tcBorders>
            <w:vAlign w:val="center"/>
          </w:tcPr>
          <w:p w14:paraId="328A60FC">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1720" w:type="dxa"/>
            <w:tcBorders>
              <w:top w:val="single" w:color="000000" w:sz="4" w:space="0"/>
              <w:left w:val="single" w:color="000000" w:sz="4" w:space="0"/>
              <w:bottom w:val="single" w:color="000000" w:sz="4" w:space="0"/>
              <w:right w:val="single" w:color="auto" w:sz="4" w:space="0"/>
            </w:tcBorders>
            <w:vAlign w:val="center"/>
          </w:tcPr>
          <w:p w14:paraId="6CAB3B5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米</w:t>
            </w:r>
            <w:r>
              <w:rPr>
                <w:rFonts w:hint="eastAsia" w:asciiTheme="minorEastAsia" w:hAnsiTheme="minorEastAsia" w:eastAsiaTheme="minorEastAsia" w:cstheme="minorEastAsia"/>
                <w:color w:val="auto"/>
                <w:sz w:val="24"/>
                <w:szCs w:val="24"/>
                <w:highlight w:val="none"/>
                <w:lang w:eastAsia="zh-CN"/>
              </w:rPr>
              <w:t>）</w:t>
            </w:r>
          </w:p>
        </w:tc>
        <w:tc>
          <w:tcPr>
            <w:tcW w:w="768" w:type="dxa"/>
            <w:tcBorders>
              <w:top w:val="single" w:color="000000" w:sz="4" w:space="0"/>
              <w:left w:val="single" w:color="000000" w:sz="4" w:space="0"/>
              <w:bottom w:val="single" w:color="000000" w:sz="4" w:space="0"/>
              <w:right w:val="single" w:color="000000" w:sz="4" w:space="0"/>
            </w:tcBorders>
            <w:vAlign w:val="center"/>
          </w:tcPr>
          <w:p w14:paraId="7256EB8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7DB">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1116" w:type="dxa"/>
            <w:tcBorders>
              <w:top w:val="single" w:color="000000" w:sz="4" w:space="0"/>
              <w:left w:val="single" w:color="000000" w:sz="4" w:space="0"/>
              <w:bottom w:val="single" w:color="000000" w:sz="4" w:space="0"/>
              <w:right w:val="single" w:color="000000" w:sz="4" w:space="0"/>
            </w:tcBorders>
            <w:vAlign w:val="center"/>
          </w:tcPr>
          <w:p w14:paraId="1E84625A">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1284" w:type="dxa"/>
            <w:vMerge w:val="continue"/>
            <w:tcBorders>
              <w:left w:val="single" w:color="000000" w:sz="4" w:space="0"/>
              <w:right w:val="single" w:color="000000" w:sz="4" w:space="0"/>
            </w:tcBorders>
            <w:vAlign w:val="center"/>
          </w:tcPr>
          <w:p w14:paraId="33E61931">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DDA3F42">
        <w:tblPrEx>
          <w:tblCellMar>
            <w:top w:w="0" w:type="dxa"/>
            <w:left w:w="108" w:type="dxa"/>
            <w:bottom w:w="0" w:type="dxa"/>
            <w:right w:w="108" w:type="dxa"/>
          </w:tblCellMar>
        </w:tblPrEx>
        <w:trPr>
          <w:trHeight w:val="707" w:hRule="atLeast"/>
        </w:trPr>
        <w:tc>
          <w:tcPr>
            <w:tcW w:w="823" w:type="dxa"/>
            <w:vMerge w:val="continue"/>
            <w:tcBorders>
              <w:left w:val="single" w:color="000000" w:sz="4" w:space="0"/>
              <w:bottom w:val="single" w:color="000000" w:sz="4" w:space="0"/>
              <w:right w:val="single" w:color="auto" w:sz="4" w:space="0"/>
            </w:tcBorders>
            <w:vAlign w:val="center"/>
          </w:tcPr>
          <w:p w14:paraId="2607EC31">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2777" w:type="dxa"/>
            <w:tcBorders>
              <w:top w:val="single" w:color="000000" w:sz="4" w:space="0"/>
              <w:left w:val="single" w:color="auto" w:sz="4" w:space="0"/>
              <w:bottom w:val="single" w:color="000000" w:sz="4" w:space="0"/>
              <w:right w:val="single" w:color="000000" w:sz="4" w:space="0"/>
            </w:tcBorders>
            <w:vAlign w:val="center"/>
          </w:tcPr>
          <w:p w14:paraId="0DA27D7B">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A02010299其他网络设备</w:t>
            </w:r>
          </w:p>
        </w:tc>
        <w:tc>
          <w:tcPr>
            <w:tcW w:w="878" w:type="dxa"/>
            <w:tcBorders>
              <w:top w:val="single" w:color="000000" w:sz="4" w:space="0"/>
              <w:left w:val="single" w:color="auto" w:sz="4" w:space="0"/>
              <w:bottom w:val="single" w:color="000000" w:sz="4" w:space="0"/>
              <w:right w:val="single" w:color="000000" w:sz="4" w:space="0"/>
            </w:tcBorders>
            <w:vAlign w:val="center"/>
          </w:tcPr>
          <w:p w14:paraId="5D3C3DE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1720" w:type="dxa"/>
            <w:tcBorders>
              <w:top w:val="single" w:color="000000" w:sz="4" w:space="0"/>
              <w:left w:val="single" w:color="000000" w:sz="4" w:space="0"/>
              <w:bottom w:val="single" w:color="000000" w:sz="4" w:space="0"/>
              <w:right w:val="single" w:color="auto" w:sz="4" w:space="0"/>
            </w:tcBorders>
            <w:vAlign w:val="center"/>
          </w:tcPr>
          <w:p w14:paraId="12C3F7BB">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人工辅材</w:t>
            </w:r>
          </w:p>
        </w:tc>
        <w:tc>
          <w:tcPr>
            <w:tcW w:w="768" w:type="dxa"/>
            <w:tcBorders>
              <w:top w:val="single" w:color="000000" w:sz="4" w:space="0"/>
              <w:left w:val="single" w:color="000000" w:sz="4" w:space="0"/>
              <w:bottom w:val="single" w:color="000000" w:sz="4" w:space="0"/>
              <w:right w:val="single" w:color="000000" w:sz="4" w:space="0"/>
            </w:tcBorders>
            <w:vAlign w:val="center"/>
          </w:tcPr>
          <w:p w14:paraId="42E374F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w:t>
            </w:r>
          </w:p>
        </w:tc>
        <w:tc>
          <w:tcPr>
            <w:tcW w:w="732" w:type="dxa"/>
            <w:tcBorders>
              <w:top w:val="single" w:color="000000" w:sz="4" w:space="0"/>
              <w:left w:val="single" w:color="000000" w:sz="4" w:space="0"/>
              <w:bottom w:val="single" w:color="000000" w:sz="4" w:space="0"/>
              <w:right w:val="single" w:color="000000" w:sz="4" w:space="0"/>
            </w:tcBorders>
            <w:vAlign w:val="center"/>
          </w:tcPr>
          <w:p w14:paraId="6D477B6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6" w:type="dxa"/>
            <w:tcBorders>
              <w:top w:val="single" w:color="000000" w:sz="4" w:space="0"/>
              <w:left w:val="single" w:color="000000" w:sz="4" w:space="0"/>
              <w:bottom w:val="single" w:color="000000" w:sz="4" w:space="0"/>
              <w:right w:val="single" w:color="000000" w:sz="4" w:space="0"/>
            </w:tcBorders>
            <w:vAlign w:val="center"/>
          </w:tcPr>
          <w:p w14:paraId="42248B11">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27300</w:t>
            </w:r>
          </w:p>
        </w:tc>
        <w:tc>
          <w:tcPr>
            <w:tcW w:w="1284" w:type="dxa"/>
            <w:vMerge w:val="continue"/>
            <w:tcBorders>
              <w:left w:val="single" w:color="000000" w:sz="4" w:space="0"/>
              <w:bottom w:val="single" w:color="000000" w:sz="4" w:space="0"/>
              <w:right w:val="single" w:color="000000" w:sz="4" w:space="0"/>
            </w:tcBorders>
            <w:vAlign w:val="center"/>
          </w:tcPr>
          <w:p w14:paraId="41F5E1E8">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0AD9F59">
        <w:tblPrEx>
          <w:tblCellMar>
            <w:top w:w="0" w:type="dxa"/>
            <w:left w:w="108" w:type="dxa"/>
            <w:bottom w:w="0" w:type="dxa"/>
            <w:right w:w="108" w:type="dxa"/>
          </w:tblCellMar>
        </w:tblPrEx>
        <w:trPr>
          <w:trHeight w:val="580" w:hRule="atLeast"/>
        </w:trPr>
        <w:tc>
          <w:tcPr>
            <w:tcW w:w="10098" w:type="dxa"/>
            <w:gridSpan w:val="8"/>
            <w:tcBorders>
              <w:top w:val="single" w:color="000000" w:sz="4" w:space="0"/>
              <w:left w:val="single" w:color="000000" w:sz="4" w:space="0"/>
              <w:bottom w:val="single" w:color="000000" w:sz="4" w:space="0"/>
              <w:right w:val="single" w:color="000000" w:sz="4" w:space="0"/>
            </w:tcBorders>
            <w:vAlign w:val="center"/>
          </w:tcPr>
          <w:p w14:paraId="72B2AB96">
            <w:pPr>
              <w:widowControl/>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最高限价总价（大写）：</w:t>
            </w:r>
            <w:r>
              <w:rPr>
                <w:rFonts w:hint="eastAsia" w:ascii="宋体" w:hAnsi="宋体" w:cs="宋体"/>
                <w:color w:val="auto"/>
                <w:sz w:val="24"/>
                <w:szCs w:val="24"/>
                <w:highlight w:val="none"/>
                <w:u w:val="single"/>
                <w:lang w:val="en-US" w:eastAsia="zh-CN"/>
              </w:rPr>
              <w:t>陆拾陆万捌仟肆佰柒拾</w:t>
            </w:r>
            <w:r>
              <w:rPr>
                <w:rFonts w:hint="eastAsia" w:ascii="宋体" w:hAnsi="宋体" w:eastAsia="宋体" w:cs="宋体"/>
                <w:color w:val="auto"/>
                <w:sz w:val="24"/>
                <w:szCs w:val="24"/>
                <w:highlight w:val="none"/>
                <w:u w:val="single"/>
                <w:lang w:val="en-US" w:eastAsia="zh-CN"/>
              </w:rPr>
              <w:t>元整(</w:t>
            </w:r>
            <w:r>
              <w:rPr>
                <w:rFonts w:hint="default"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668470)</w:t>
            </w:r>
          </w:p>
        </w:tc>
      </w:tr>
    </w:tbl>
    <w:p w14:paraId="75A6D5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（三）本项目合同包成交候选人数量：1名。</w:t>
      </w:r>
    </w:p>
    <w:p w14:paraId="3FC06494">
      <w:pPr>
        <w:pStyle w:val="1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（四）报价要求</w:t>
      </w:r>
    </w:p>
    <w:p w14:paraId="25C68F58">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本项目各分项均设置最高限单价，供应商无需逐项填报单价</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按最高限</w:t>
      </w:r>
      <w:r>
        <w:rPr>
          <w:rFonts w:hint="eastAsia" w:ascii="宋体" w:hAnsi="宋体" w:cs="宋体"/>
          <w:bCs/>
          <w:color w:val="auto"/>
          <w:kern w:val="2"/>
          <w:sz w:val="24"/>
          <w:szCs w:val="24"/>
          <w:highlight w:val="none"/>
          <w:lang w:val="en-US" w:eastAsia="zh-CN" w:bidi="ar-SA"/>
        </w:rPr>
        <w:t>单</w:t>
      </w:r>
      <w:r>
        <w:rPr>
          <w:rFonts w:hint="eastAsia" w:ascii="宋体" w:hAnsi="宋体" w:eastAsia="宋体" w:cs="宋体"/>
          <w:bCs/>
          <w:color w:val="auto"/>
          <w:kern w:val="2"/>
          <w:sz w:val="24"/>
          <w:szCs w:val="24"/>
          <w:highlight w:val="none"/>
          <w:lang w:val="en-US" w:eastAsia="zh-CN" w:bidi="ar-SA"/>
        </w:rPr>
        <w:t>价整体统一下浮率进行报价；合同履约及结算时，所有分项执行单价均按对应最高限</w:t>
      </w:r>
      <w:r>
        <w:rPr>
          <w:rFonts w:hint="eastAsia" w:ascii="宋体" w:hAnsi="宋体" w:cs="宋体"/>
          <w:bCs/>
          <w:color w:val="auto"/>
          <w:kern w:val="2"/>
          <w:sz w:val="24"/>
          <w:szCs w:val="24"/>
          <w:highlight w:val="none"/>
          <w:lang w:val="en-US" w:eastAsia="zh-CN" w:bidi="ar-SA"/>
        </w:rPr>
        <w:t>单</w:t>
      </w:r>
      <w:r>
        <w:rPr>
          <w:rFonts w:hint="eastAsia" w:ascii="宋体" w:hAnsi="宋体" w:eastAsia="宋体" w:cs="宋体"/>
          <w:bCs/>
          <w:color w:val="auto"/>
          <w:kern w:val="2"/>
          <w:sz w:val="24"/>
          <w:szCs w:val="24"/>
          <w:highlight w:val="none"/>
          <w:lang w:val="en-US" w:eastAsia="zh-CN" w:bidi="ar-SA"/>
        </w:rPr>
        <w:t>价结合</w:t>
      </w:r>
      <w:r>
        <w:rPr>
          <w:rFonts w:hint="eastAsia" w:ascii="宋体" w:hAnsi="宋体" w:cs="宋体"/>
          <w:bCs/>
          <w:color w:val="auto"/>
          <w:kern w:val="2"/>
          <w:sz w:val="24"/>
          <w:szCs w:val="24"/>
          <w:highlight w:val="none"/>
          <w:lang w:val="en-US" w:eastAsia="zh-CN" w:bidi="ar-SA"/>
        </w:rPr>
        <w:t>成交</w:t>
      </w:r>
      <w:r>
        <w:rPr>
          <w:rFonts w:hint="eastAsia" w:ascii="宋体" w:hAnsi="宋体" w:eastAsia="宋体" w:cs="宋体"/>
          <w:bCs/>
          <w:color w:val="auto"/>
          <w:kern w:val="2"/>
          <w:sz w:val="24"/>
          <w:szCs w:val="24"/>
          <w:highlight w:val="none"/>
          <w:lang w:val="en-US" w:eastAsia="zh-CN" w:bidi="ar-SA"/>
        </w:rPr>
        <w:t>下浮率同比例下浮计算</w:t>
      </w:r>
      <w:r>
        <w:rPr>
          <w:rFonts w:hint="eastAsia" w:ascii="宋体" w:hAnsi="宋体" w:cs="宋体"/>
          <w:bCs/>
          <w:color w:val="auto"/>
          <w:kern w:val="2"/>
          <w:sz w:val="24"/>
          <w:szCs w:val="24"/>
          <w:highlight w:val="none"/>
          <w:lang w:val="en-US" w:eastAsia="zh-CN" w:bidi="ar-SA"/>
        </w:rPr>
        <w:t>，即最终结算单价 = 对应最高限单价×（1- 成交下浮率）</w:t>
      </w: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供应商响应文件须完整填报所投产品品牌、规格/型号等信息，缺项、漏项或信息不全的，视为无效</w:t>
      </w:r>
      <w:r>
        <w:rPr>
          <w:rFonts w:hint="eastAsia" w:ascii="宋体" w:hAnsi="宋体" w:cs="宋体"/>
          <w:bCs/>
          <w:color w:val="auto"/>
          <w:kern w:val="2"/>
          <w:sz w:val="24"/>
          <w:szCs w:val="24"/>
          <w:highlight w:val="none"/>
          <w:lang w:val="en-US" w:eastAsia="zh-CN" w:bidi="ar-SA"/>
        </w:rPr>
        <w:t>响应</w:t>
      </w:r>
      <w:r>
        <w:rPr>
          <w:rFonts w:hint="eastAsia" w:ascii="宋体" w:hAnsi="宋体" w:eastAsia="宋体" w:cs="宋体"/>
          <w:bCs/>
          <w:color w:val="auto"/>
          <w:kern w:val="2"/>
          <w:sz w:val="24"/>
          <w:szCs w:val="24"/>
          <w:highlight w:val="none"/>
          <w:lang w:val="en-US" w:eastAsia="zh-CN" w:bidi="ar-SA"/>
        </w:rPr>
        <w:t>。</w:t>
      </w:r>
    </w:p>
    <w:p w14:paraId="667FC85D">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Style w:val="26"/>
          <w:rFonts w:ascii="宋体" w:hAnsi="宋体" w:cs="宋体"/>
          <w:b/>
          <w:bCs/>
          <w:color w:val="auto"/>
          <w:kern w:val="0"/>
          <w:sz w:val="24"/>
          <w:highlight w:val="none"/>
        </w:rPr>
      </w:pPr>
      <w:r>
        <w:rPr>
          <w:rFonts w:hint="eastAsia" w:ascii="宋体" w:hAnsi="宋体" w:cs="宋体"/>
          <w:bCs/>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供应商提供的报价总价</w:t>
      </w:r>
      <w:r>
        <w:rPr>
          <w:rFonts w:hint="eastAsia" w:asciiTheme="minorEastAsia" w:hAnsiTheme="minorEastAsia" w:eastAsiaTheme="minorEastAsia" w:cstheme="minorEastAsia"/>
          <w:color w:val="auto"/>
          <w:sz w:val="24"/>
          <w:szCs w:val="24"/>
          <w:highlight w:val="none"/>
        </w:rPr>
        <w:t>须包含</w:t>
      </w:r>
      <w:r>
        <w:rPr>
          <w:rFonts w:hint="eastAsia" w:ascii="宋体" w:hAnsi="宋体" w:eastAsia="宋体" w:cs="宋体"/>
          <w:bCs/>
          <w:color w:val="auto"/>
          <w:kern w:val="2"/>
          <w:sz w:val="24"/>
          <w:szCs w:val="24"/>
          <w:highlight w:val="none"/>
          <w:lang w:val="en-US" w:eastAsia="zh-CN" w:bidi="ar-SA"/>
        </w:rPr>
        <w:t>但不限于所需人工、设备成本、施工机械（器械）使用费、材料费、生产费、运输费、安全措施费、安装费、开路埋管施工费、配套器件（含线路）费、因安装工作不连续而造成的窝工费、调试费、培训费、3年售后维保服务费、税金及合同明示或暗示的风险责任和义务等一切与本项目相关的所有费用，采购人不再支付其他费用，</w:t>
      </w:r>
      <w:r>
        <w:rPr>
          <w:rFonts w:ascii="宋体" w:hAnsi="宋体" w:cs="宋体"/>
          <w:color w:val="auto"/>
          <w:sz w:val="24"/>
          <w:highlight w:val="none"/>
        </w:rPr>
        <w:t>在符合采购需求且报价有效的前提下，总报价最低者成交。</w:t>
      </w:r>
    </w:p>
    <w:p w14:paraId="14570C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、竞价过程中，</w:t>
      </w:r>
      <w:r>
        <w:rPr>
          <w:rFonts w:hint="eastAsia" w:ascii="宋体" w:hAnsi="宋体" w:cs="宋体"/>
          <w:color w:val="auto"/>
          <w:sz w:val="24"/>
          <w:highlight w:val="none"/>
          <w:lang w:val="en-US" w:eastAsia="zh-CN"/>
        </w:rPr>
        <w:t>供应商</w:t>
      </w:r>
      <w:r>
        <w:rPr>
          <w:rFonts w:ascii="宋体" w:hAnsi="宋体" w:cs="宋体"/>
          <w:color w:val="auto"/>
          <w:sz w:val="24"/>
          <w:highlight w:val="none"/>
        </w:rPr>
        <w:t>每次报价必须比自己上次的报价低。</w:t>
      </w:r>
    </w:p>
    <w:p w14:paraId="4DAC18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、符合以上相关要求的报价，可以在规定的报价时限内不限次数报价，直到竞价截止时间为止。</w:t>
      </w:r>
    </w:p>
    <w:p w14:paraId="2E7213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lang w:val="en-US" w:eastAsia="zh-CN"/>
        </w:rPr>
        <w:t>供应商</w:t>
      </w:r>
      <w:r>
        <w:rPr>
          <w:rFonts w:ascii="宋体" w:hAnsi="宋体" w:cs="宋体"/>
          <w:color w:val="auto"/>
          <w:sz w:val="24"/>
          <w:highlight w:val="none"/>
        </w:rPr>
        <w:t>已详细审查全部竞价公告，包括修改竞价公告(如有的话)和有关附件，将自行承担因对全部竞价公告理解不正确或误解而产生的相应后果。</w:t>
      </w:r>
    </w:p>
    <w:p w14:paraId="72924B69">
      <w:pPr>
        <w:pStyle w:val="19"/>
        <w:widowControl/>
        <w:spacing w:after="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、合同期内不调价。成交</w:t>
      </w:r>
      <w:r>
        <w:rPr>
          <w:rFonts w:hint="eastAsia" w:ascii="宋体" w:hAnsi="宋体" w:cs="宋体"/>
          <w:color w:val="auto"/>
          <w:sz w:val="24"/>
          <w:highlight w:val="none"/>
          <w:lang w:val="en-US" w:eastAsia="zh-CN"/>
        </w:rPr>
        <w:t>人</w:t>
      </w:r>
      <w:r>
        <w:rPr>
          <w:rFonts w:ascii="宋体" w:hAnsi="宋体" w:cs="宋体"/>
          <w:color w:val="auto"/>
          <w:sz w:val="24"/>
          <w:highlight w:val="none"/>
        </w:rPr>
        <w:t>不得擅自增加、变更、提高结算项目及结算标准。</w:t>
      </w:r>
      <w:r>
        <w:rPr>
          <w:rFonts w:hint="eastAsia" w:ascii="宋体" w:hAnsi="宋体" w:cs="宋体"/>
          <w:color w:val="auto"/>
          <w:sz w:val="24"/>
          <w:highlight w:val="none"/>
          <w:lang w:val="en-US" w:eastAsia="zh-CN"/>
        </w:rPr>
        <w:t>供应商</w:t>
      </w:r>
      <w:r>
        <w:rPr>
          <w:rFonts w:ascii="宋体" w:hAnsi="宋体" w:cs="宋体"/>
          <w:color w:val="auto"/>
          <w:sz w:val="24"/>
          <w:highlight w:val="none"/>
        </w:rPr>
        <w:t>应充分考虑因合同期间的总价费用风险并承担带来的经营风险。</w:t>
      </w:r>
    </w:p>
    <w:p w14:paraId="40913FF3">
      <w:pPr>
        <w:pStyle w:val="19"/>
        <w:widowControl/>
        <w:spacing w:after="0" w:line="360" w:lineRule="auto"/>
        <w:ind w:left="0" w:leftChars="0" w:firstLine="482" w:firstLineChars="200"/>
        <w:rPr>
          <w:rFonts w:hint="eastAsia" w:hAnsi="宋体"/>
          <w:b/>
          <w:color w:val="auto"/>
          <w:sz w:val="24"/>
          <w:szCs w:val="24"/>
          <w:highlight w:val="none"/>
        </w:rPr>
      </w:pPr>
      <w:r>
        <w:rPr>
          <w:rFonts w:hint="eastAsia" w:hAnsi="宋体"/>
          <w:b/>
          <w:color w:val="auto"/>
          <w:sz w:val="24"/>
          <w:szCs w:val="24"/>
          <w:highlight w:val="none"/>
        </w:rPr>
        <w:t>二、技术和货物要求</w:t>
      </w:r>
    </w:p>
    <w:p w14:paraId="086FDB02">
      <w:pPr>
        <w:pStyle w:val="19"/>
        <w:widowControl/>
        <w:spacing w:after="0" w:line="360" w:lineRule="auto"/>
        <w:ind w:left="0" w:leftChars="0" w:firstLine="480" w:firstLineChars="200"/>
        <w:rPr>
          <w:rFonts w:hint="eastAsia" w:hAnsi="宋体"/>
          <w:b w:val="0"/>
          <w:bCs/>
          <w:color w:val="auto"/>
          <w:sz w:val="24"/>
          <w:szCs w:val="24"/>
          <w:highlight w:val="none"/>
        </w:rPr>
      </w:pPr>
      <w:r>
        <w:rPr>
          <w:rFonts w:hint="eastAsia" w:hAnsi="宋体"/>
          <w:b w:val="0"/>
          <w:bCs/>
          <w:color w:val="auto"/>
          <w:sz w:val="24"/>
          <w:szCs w:val="24"/>
          <w:highlight w:val="none"/>
        </w:rPr>
        <w:t>（一）采购货物清单（包括但不限于设备、系统等，简称货物，下同）数量、技术参数及要求（需</w:t>
      </w:r>
      <w:r>
        <w:rPr>
          <w:rFonts w:hint="eastAsia" w:hAnsi="宋体"/>
          <w:b w:val="0"/>
          <w:bCs/>
          <w:color w:val="auto"/>
          <w:sz w:val="24"/>
          <w:szCs w:val="24"/>
          <w:highlight w:val="none"/>
          <w:lang w:val="en-US" w:eastAsia="zh-CN"/>
        </w:rPr>
        <w:t>按要求</w:t>
      </w:r>
      <w:r>
        <w:rPr>
          <w:rFonts w:hint="eastAsia" w:hAnsi="宋体"/>
          <w:b w:val="0"/>
          <w:bCs/>
          <w:color w:val="auto"/>
          <w:sz w:val="24"/>
          <w:szCs w:val="24"/>
          <w:highlight w:val="none"/>
        </w:rPr>
        <w:t>提供</w:t>
      </w:r>
      <w:r>
        <w:rPr>
          <w:rFonts w:hint="eastAsia" w:hAnsi="宋体"/>
          <w:b w:val="0"/>
          <w:bCs/>
          <w:color w:val="auto"/>
          <w:sz w:val="24"/>
          <w:szCs w:val="24"/>
          <w:highlight w:val="none"/>
          <w:lang w:val="en-US" w:eastAsia="zh-CN"/>
        </w:rPr>
        <w:t>产品资料</w:t>
      </w:r>
      <w:r>
        <w:rPr>
          <w:rFonts w:hint="eastAsia" w:hAnsi="宋体"/>
          <w:b w:val="0"/>
          <w:bCs/>
          <w:color w:val="auto"/>
          <w:sz w:val="24"/>
          <w:szCs w:val="24"/>
          <w:highlight w:val="none"/>
        </w:rPr>
        <w:t>）：</w:t>
      </w:r>
    </w:p>
    <w:tbl>
      <w:tblPr>
        <w:tblStyle w:val="20"/>
        <w:tblW w:w="9469" w:type="dxa"/>
        <w:jc w:val="center"/>
        <w:tblLayout w:type="fixed"/>
        <w:tblCellMar>
          <w:top w:w="0" w:type="dxa"/>
          <w:left w:w="108" w:type="dxa"/>
          <w:bottom w:w="0" w:type="dxa"/>
          <w:right w:w="108" w:type="dxa"/>
        </w:tblCellMar>
      </w:tblPr>
      <w:tblGrid>
        <w:gridCol w:w="713"/>
        <w:gridCol w:w="1378"/>
        <w:gridCol w:w="7378"/>
      </w:tblGrid>
      <w:tr w14:paraId="69B8A726">
        <w:tblPrEx>
          <w:tblCellMar>
            <w:top w:w="0" w:type="dxa"/>
            <w:left w:w="108" w:type="dxa"/>
            <w:bottom w:w="0" w:type="dxa"/>
            <w:right w:w="108" w:type="dxa"/>
          </w:tblCellMar>
        </w:tblPrEx>
        <w:trPr>
          <w:trHeight w:val="0" w:hRule="atLeast"/>
          <w:jc w:val="center"/>
        </w:trPr>
        <w:tc>
          <w:tcPr>
            <w:tcW w:w="713" w:type="dxa"/>
            <w:tcBorders>
              <w:top w:val="single" w:color="auto" w:sz="4" w:space="0"/>
              <w:left w:val="single" w:color="000000" w:sz="4" w:space="0"/>
              <w:bottom w:val="single" w:color="000000" w:sz="4" w:space="0"/>
              <w:right w:val="single" w:color="000000" w:sz="4" w:space="0"/>
            </w:tcBorders>
            <w:vAlign w:val="center"/>
          </w:tcPr>
          <w:p w14:paraId="2E9CF0A3">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1378" w:type="dxa"/>
            <w:tcBorders>
              <w:top w:val="single" w:color="auto" w:sz="4" w:space="0"/>
              <w:left w:val="single" w:color="000000" w:sz="4" w:space="0"/>
              <w:bottom w:val="single" w:color="000000" w:sz="4" w:space="0"/>
              <w:right w:val="single" w:color="000000" w:sz="4" w:space="0"/>
            </w:tcBorders>
            <w:vAlign w:val="center"/>
          </w:tcPr>
          <w:p w14:paraId="1536F156">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设备名称</w:t>
            </w:r>
          </w:p>
        </w:tc>
        <w:tc>
          <w:tcPr>
            <w:tcW w:w="7378" w:type="dxa"/>
            <w:tcBorders>
              <w:top w:val="single" w:color="auto" w:sz="4" w:space="0"/>
              <w:left w:val="single" w:color="000000" w:sz="4" w:space="0"/>
              <w:bottom w:val="single" w:color="000000" w:sz="4" w:space="0"/>
              <w:right w:val="single" w:color="000000" w:sz="4" w:space="0"/>
            </w:tcBorders>
            <w:vAlign w:val="center"/>
          </w:tcPr>
          <w:p w14:paraId="69EBCCED">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w:t>
            </w:r>
          </w:p>
        </w:tc>
      </w:tr>
      <w:tr w14:paraId="49A6AEC0">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50C7027">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BCAB">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核心交换机</w:t>
            </w:r>
          </w:p>
        </w:tc>
        <w:tc>
          <w:tcPr>
            <w:tcW w:w="7378" w:type="dxa"/>
            <w:tcBorders>
              <w:top w:val="single" w:color="000000" w:sz="4" w:space="0"/>
              <w:left w:val="single" w:color="000000" w:sz="4" w:space="0"/>
              <w:bottom w:val="single" w:color="000000" w:sz="4" w:space="0"/>
              <w:right w:val="single" w:color="000000" w:sz="4" w:space="0"/>
            </w:tcBorders>
            <w:vAlign w:val="center"/>
          </w:tcPr>
          <w:p w14:paraId="2D934F7B">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1.交换容量≥1904Tbps，包转发率≥460800Mpps；</w:t>
            </w:r>
          </w:p>
          <w:p w14:paraId="6AB6B165">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2.主控引擎≥2；独立交换网板≥4；整机业务板槽位数≥8；</w:t>
            </w:r>
          </w:p>
          <w:p w14:paraId="31A57446">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3.为适应机柜并排部署，设备机箱（包括业务板卡区）采用后出风风道设计；</w:t>
            </w:r>
          </w:p>
          <w:p w14:paraId="20D7C0E0">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4.支持整机MAC地址≥1M；支持整机ARP表项≥384K；支持IPv4路由转发表FIB规格≥3M；</w:t>
            </w:r>
          </w:p>
          <w:p w14:paraId="1F80A518">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5.支持并配置1个独立的硬件监控板卡,控制平面和监控平面物理槽位分离，可对设备的电源模块和风扇模块进行管理，支持热插拔并支持冗余备份；</w:t>
            </w:r>
          </w:p>
          <w:p w14:paraId="13036A7C">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6.支持MPLSVPN/VLL/VPLS、MPLS-TE、MPLSOAM；</w:t>
            </w:r>
          </w:p>
          <w:p w14:paraId="60CCD734">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7.支持适用600mm深度机柜；</w:t>
            </w:r>
          </w:p>
          <w:p w14:paraId="7DF99469">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8.关键CPU、转发芯片采用国产化芯片；</w:t>
            </w:r>
          </w:p>
          <w:p w14:paraId="569B3C00">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9.支持业务随行功能，不管用户身处何地、使用哪个IP地址，都可以保证该用户获得相同的网络访问策略；</w:t>
            </w:r>
          </w:p>
          <w:p w14:paraId="6F773A54">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10.支持静态路由、RIP、RIPng、OSPF、OSPFv3、BGP、BGP4+、ISIS、ISISv6；</w:t>
            </w:r>
          </w:p>
          <w:p w14:paraId="6B1A5199">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11.支持异常监控功能，包含死循环、断言、内存、Kbox；黑匣子、corefile单列；</w:t>
            </w:r>
          </w:p>
          <w:p w14:paraId="4286462B">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12.支持真实业务流的实时检测技术，可通过直接对业务报文进行标记的方法，实现对网络和设备的丢包情况进行统计；</w:t>
            </w:r>
          </w:p>
          <w:p w14:paraId="37F2EDEA">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13.本次配置：双主控、双交换网板，双3000W交流电源模块；配置≥48千兆电接口；配置≥96万兆光接口，1条万兆堆叠线缆，原厂3年维保；</w:t>
            </w:r>
          </w:p>
          <w:p w14:paraId="6271F69B">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14、设备支持双机热备，包含现有设备的重新组网等业务实施，根据现有业务需求交付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（须提供承诺函，格式自拟，承诺所投产品能够实现标准双机热备（含配置同步</w:t>
            </w:r>
            <w:r>
              <w:rPr>
                <w:rFonts w:hint="eastAsia" w:asciiTheme="minorEastAsia" w:hAnsiTheme="minorEastAsia" w:eastAsiaTheme="minorEastAsia" w:cstheme="minorEastAsia"/>
                <w:b/>
                <w:bCs/>
                <w:color w:val="auto"/>
                <w:sz w:val="24"/>
                <w:szCs w:val="24"/>
                <w:highlight w:val="none"/>
                <w:lang w:val="en-US" w:eastAsia="zh-CN"/>
              </w:rPr>
              <w:t>等</w:t>
            </w:r>
            <w:r>
              <w:rPr>
                <w:rFonts w:hint="eastAsia" w:asciiTheme="minorEastAsia" w:hAnsiTheme="minorEastAsia" w:eastAsiaTheme="minorEastAsia" w:cstheme="minorEastAsia"/>
                <w:b/>
                <w:bCs/>
                <w:color w:val="auto"/>
                <w:sz w:val="24"/>
                <w:szCs w:val="24"/>
                <w:highlight w:val="none"/>
              </w:rPr>
              <w:t>）。）</w:t>
            </w:r>
          </w:p>
        </w:tc>
      </w:tr>
      <w:tr w14:paraId="582E3221">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3AC90F1">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EA9">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入侵防御系统</w:t>
            </w:r>
          </w:p>
        </w:tc>
        <w:tc>
          <w:tcPr>
            <w:tcW w:w="7378" w:type="dxa"/>
            <w:tcBorders>
              <w:top w:val="single" w:color="000000" w:sz="4" w:space="0"/>
              <w:left w:val="single" w:color="000000" w:sz="4" w:space="0"/>
              <w:bottom w:val="single" w:color="000000" w:sz="4" w:space="0"/>
              <w:right w:val="single" w:color="000000" w:sz="4" w:space="0"/>
            </w:tcBorders>
            <w:vAlign w:val="center"/>
          </w:tcPr>
          <w:p w14:paraId="61AD1EAE">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1.配置≥6个千兆电口、≥4个万兆光口、≥2个扩展槽；≥1个USB口、≥1个控制口；≥128GSSD、≥2T企业级硬盘；配备冗余电源；并发连接≥180万；新建连接≥3万；IPS吞吐≥1.2Gbps;网络吞吐≥6Gbps；</w:t>
            </w:r>
          </w:p>
          <w:p w14:paraId="4ADF7C54">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2.支持DDOS防御功能，可分别设置UDP、SYN、ICMP、HTTPGet、HTTPPost等阈值，超过阈值可进行告警或隔离；</w:t>
            </w:r>
          </w:p>
          <w:p w14:paraId="0F87C10D">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3.支持网页内容过滤，可以自定义关键词和关键字，并可过滤Active、Cookie、JavaApplet等内容；</w:t>
            </w:r>
          </w:p>
          <w:p w14:paraId="6494B6E1">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4.支持在线抓包等调试工具，并且不需要导出即可在设备上查看抓包内容；支持邮件告警通知功能，自定义身份认证、邮件、即时通讯等通知消息；内网有入侵时支持并不仅限于(自定义发送告警代码，</w:t>
            </w:r>
            <w:r>
              <w:rPr>
                <w:rFonts w:hint="eastAsia" w:asciiTheme="minorEastAsia" w:hAnsiTheme="minorEastAsia" w:eastAsiaTheme="minorEastAsia" w:cstheme="minorEastAsia"/>
                <w:b w:val="0"/>
                <w:bCs w:val="0"/>
                <w:color w:val="auto"/>
                <w:sz w:val="24"/>
                <w:szCs w:val="24"/>
                <w:highlight w:val="none"/>
              </w:rPr>
              <w:t>可依据低危、中危、高危三级风险等级外发对应告警代码，实现分级声光、语音、短信、电话告警，并可根据需求定制化适配终端类型)</w:t>
            </w:r>
            <w:r>
              <w:rPr>
                <w:rFonts w:hint="eastAsia" w:asciiTheme="minorEastAsia" w:hAnsiTheme="minorEastAsia" w:eastAsiaTheme="minorEastAsia" w:cstheme="minorEastAsia"/>
                <w:color w:val="auto"/>
                <w:sz w:val="24"/>
                <w:szCs w:val="24"/>
                <w:highlight w:val="none"/>
                <w:lang w:eastAsia="zh-CN"/>
              </w:rPr>
              <w:t>；</w:t>
            </w:r>
          </w:p>
          <w:p w14:paraId="0B7DABBF">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具备病毒防护功能，内置病毒库特征，支持对</w:t>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z w:val="24"/>
                <w:szCs w:val="24"/>
                <w:highlight w:val="none"/>
                <w:lang w:val="en-US" w:eastAsia="zh-CN"/>
              </w:rPr>
              <w:t>/HTTPS、</w:t>
            </w:r>
            <w:r>
              <w:rPr>
                <w:rFonts w:hint="eastAsia" w:asciiTheme="minorEastAsia" w:hAnsiTheme="minorEastAsia" w:eastAsiaTheme="minorEastAsia" w:cstheme="minorEastAsia"/>
                <w:color w:val="auto"/>
                <w:sz w:val="24"/>
                <w:szCs w:val="24"/>
                <w:highlight w:val="none"/>
              </w:rPr>
              <w:t>SMTP、</w:t>
            </w:r>
            <w:r>
              <w:rPr>
                <w:rFonts w:hint="eastAsia" w:asciiTheme="minorEastAsia" w:hAnsiTheme="minorEastAsia" w:eastAsiaTheme="minorEastAsia" w:cstheme="minorEastAsia"/>
                <w:color w:val="auto"/>
                <w:sz w:val="24"/>
                <w:szCs w:val="24"/>
                <w:highlight w:val="none"/>
                <w:lang w:val="en-US" w:eastAsia="zh-CN"/>
              </w:rPr>
              <w:t>POP3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IMAP</w:t>
            </w:r>
            <w:r>
              <w:rPr>
                <w:rFonts w:hint="eastAsia" w:asciiTheme="minorEastAsia" w:hAnsiTheme="minorEastAsia" w:eastAsiaTheme="minorEastAsia" w:cstheme="minorEastAsia"/>
                <w:color w:val="auto"/>
                <w:sz w:val="24"/>
                <w:szCs w:val="24"/>
                <w:highlight w:val="none"/>
              </w:rPr>
              <w:t>、FTP</w:t>
            </w:r>
            <w:r>
              <w:rPr>
                <w:rFonts w:hint="eastAsia" w:asciiTheme="minorEastAsia" w:hAnsiTheme="minorEastAsia" w:eastAsiaTheme="minorEastAsia" w:cstheme="minorEastAsia"/>
                <w:color w:val="auto"/>
                <w:sz w:val="24"/>
                <w:szCs w:val="24"/>
                <w:highlight w:val="none"/>
                <w:lang w:val="en-US" w:eastAsia="zh-CN"/>
              </w:rPr>
              <w:t>等协议的病毒扫描与阻断</w:t>
            </w:r>
            <w:r>
              <w:rPr>
                <w:rFonts w:hint="eastAsia" w:asciiTheme="minorEastAsia" w:hAnsiTheme="minorEastAsia" w:eastAsiaTheme="minorEastAsia" w:cstheme="minorEastAsia"/>
                <w:color w:val="auto"/>
                <w:sz w:val="24"/>
                <w:szCs w:val="24"/>
                <w:highlight w:val="none"/>
              </w:rPr>
              <w:t>；</w:t>
            </w:r>
          </w:p>
          <w:p w14:paraId="243E4CA5">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6.支持Web代理网关模式，用户可通过IE代理访问互联网进行行为访问控制；</w:t>
            </w:r>
          </w:p>
          <w:p w14:paraId="3E533C4E">
            <w:pPr>
              <w:keepNext w:val="0"/>
              <w:keepLines w:val="0"/>
              <w:pageBreakBefore w:val="0"/>
              <w:widowControl w:val="0"/>
              <w:kinsoku/>
              <w:wordWrap/>
              <w:overflowPunct/>
              <w:topLinePunct w:val="0"/>
              <w:autoSpaceDE/>
              <w:autoSpaceDN/>
              <w:bidi w:val="0"/>
              <w:adjustRightInd/>
              <w:snapToGrid/>
              <w:rPr>
                <w:rStyle w:val="23"/>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7.可实现与监狱现有态势感知平台联动建立联防联控机制；</w:t>
            </w:r>
          </w:p>
          <w:p w14:paraId="61045A3F">
            <w:pPr>
              <w:keepNext w:val="0"/>
              <w:keepLines w:val="0"/>
              <w:pageBreakBefore w:val="0"/>
              <w:widowControl w:val="0"/>
              <w:kinsoku/>
              <w:wordWrap/>
              <w:overflowPunct/>
              <w:topLinePunct w:val="0"/>
              <w:autoSpaceDE/>
              <w:autoSpaceDN/>
              <w:bidi w:val="0"/>
              <w:adjustRightInd/>
              <w:snapToGrid/>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8.可实现与监狱现有的入侵防御系统双机热备；</w:t>
            </w:r>
            <w:r>
              <w:rPr>
                <w:rFonts w:hint="eastAsia" w:asciiTheme="minorEastAsia" w:hAnsiTheme="minorEastAsia" w:eastAsiaTheme="minorEastAsia" w:cstheme="minorEastAsia"/>
                <w:b/>
                <w:bCs/>
                <w:color w:val="auto"/>
                <w:sz w:val="24"/>
                <w:szCs w:val="24"/>
                <w:highlight w:val="none"/>
              </w:rPr>
              <w:t>（须提供承诺函，格式自拟，承诺所投产品能够与监狱现有入侵防御系统实现标准双机热备（含配置同步</w:t>
            </w:r>
            <w:r>
              <w:rPr>
                <w:rFonts w:hint="eastAsia" w:asciiTheme="minorEastAsia" w:hAnsiTheme="minorEastAsia" w:eastAsiaTheme="minorEastAsia" w:cstheme="minorEastAsia"/>
                <w:b/>
                <w:bCs/>
                <w:color w:val="auto"/>
                <w:sz w:val="24"/>
                <w:szCs w:val="24"/>
                <w:highlight w:val="none"/>
                <w:lang w:val="en-US" w:eastAsia="zh-CN"/>
              </w:rPr>
              <w:t>等</w:t>
            </w:r>
            <w:r>
              <w:rPr>
                <w:rFonts w:hint="eastAsia" w:asciiTheme="minorEastAsia" w:hAnsiTheme="minorEastAsia" w:eastAsiaTheme="minorEastAsia" w:cstheme="minorEastAsia"/>
                <w:b/>
                <w:bCs/>
                <w:color w:val="auto"/>
                <w:sz w:val="24"/>
                <w:szCs w:val="24"/>
                <w:highlight w:val="none"/>
              </w:rPr>
              <w:t>）。）</w:t>
            </w:r>
          </w:p>
          <w:p w14:paraId="291667A1">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9.内置入侵防御特征库，支持特征</w:t>
            </w:r>
            <w:r>
              <w:rPr>
                <w:rFonts w:hint="eastAsia" w:asciiTheme="minorEastAsia" w:hAnsiTheme="minorEastAsia" w:eastAsiaTheme="minorEastAsia" w:cstheme="minorEastAsia"/>
                <w:color w:val="auto"/>
                <w:sz w:val="24"/>
                <w:szCs w:val="24"/>
                <w:highlight w:val="none"/>
                <w:lang w:val="en-US" w:eastAsia="zh-CN"/>
              </w:rPr>
              <w:t>自</w:t>
            </w:r>
            <w:r>
              <w:rPr>
                <w:rFonts w:hint="eastAsia" w:asciiTheme="minorEastAsia" w:hAnsiTheme="minorEastAsia" w:eastAsiaTheme="minorEastAsia" w:cstheme="minorEastAsia"/>
                <w:color w:val="auto"/>
                <w:sz w:val="24"/>
                <w:szCs w:val="24"/>
                <w:highlight w:val="none"/>
              </w:rPr>
              <w:t>定义；支持勒索病毒行为、挖矿行为、WEB安全、木马行为、漏洞攻击、暴力破解、弱口令、敏感数据这些类型的特征；支持信誉机制，可对僵木蠕、勒索、挖矿、DDOS、傀儡机多种恶意IP或域名进行检测和过滤。</w:t>
            </w:r>
            <w:r>
              <w:rPr>
                <w:rFonts w:hint="eastAsia" w:asciiTheme="minorEastAsia" w:hAnsiTheme="minorEastAsia" w:eastAsiaTheme="minorEastAsia" w:cstheme="minorEastAsia"/>
                <w:b/>
                <w:bCs/>
                <w:color w:val="auto"/>
                <w:sz w:val="24"/>
                <w:szCs w:val="24"/>
                <w:highlight w:val="none"/>
              </w:rPr>
              <w:t>【须提供上述功能的CMA标识的检验检测机构出具的检测报告复印件（检测报告包含报告首页、对应功能测试页和报告尾页。】</w:t>
            </w:r>
          </w:p>
        </w:tc>
      </w:tr>
      <w:tr w14:paraId="4B80059B">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D9131E2">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035">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单模</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65DD6B5C">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万兆单模模块，波长1310nm，传输距离≥10km，LC接口</w:t>
            </w:r>
          </w:p>
        </w:tc>
      </w:tr>
      <w:tr w14:paraId="12250BDB">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282E7DAC">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84C">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多模</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309AB7EC">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万兆多模模块，波长850nm，LC接口</w:t>
            </w:r>
          </w:p>
        </w:tc>
      </w:tr>
      <w:tr w14:paraId="39430148">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E2ED817">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20D">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5米</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0DBA2183">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LC--LC跳纤</w:t>
            </w:r>
          </w:p>
        </w:tc>
      </w:tr>
      <w:tr w14:paraId="44D4DC2D">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30D3903">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3A69">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10米</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32910A17">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LC--LC跳纤</w:t>
            </w:r>
          </w:p>
        </w:tc>
      </w:tr>
      <w:tr w14:paraId="2E96C5F8">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BC21326">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753">
            <w:pPr>
              <w:keepNext w:val="0"/>
              <w:keepLines w:val="0"/>
              <w:pageBreakBefore w:val="0"/>
              <w:widowControl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人工辅材</w:t>
            </w:r>
          </w:p>
        </w:tc>
        <w:tc>
          <w:tcPr>
            <w:tcW w:w="7378" w:type="dxa"/>
            <w:tcBorders>
              <w:top w:val="single" w:color="000000" w:sz="4" w:space="0"/>
              <w:left w:val="single" w:color="000000" w:sz="4" w:space="0"/>
              <w:bottom w:val="single" w:color="000000" w:sz="4" w:space="0"/>
              <w:right w:val="single" w:color="000000" w:sz="4" w:space="0"/>
            </w:tcBorders>
            <w:vAlign w:val="center"/>
          </w:tcPr>
          <w:p w14:paraId="12B1FBB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包含调试、标签标识等</w:t>
            </w:r>
          </w:p>
        </w:tc>
      </w:tr>
    </w:tbl>
    <w:p w14:paraId="24A4ACF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highlight w:val="none"/>
          <w:lang w:val="zh-CN" w:eastAsia="zh-CN"/>
        </w:rPr>
      </w:pPr>
      <w:r>
        <w:rPr>
          <w:rStyle w:val="23"/>
          <w:rFonts w:hint="eastAsia" w:asciiTheme="minorEastAsia" w:hAnsiTheme="minorEastAsia" w:eastAsiaTheme="minorEastAsia" w:cstheme="minorEastAsia"/>
          <w:b w:val="0"/>
          <w:bCs w:val="0"/>
          <w:color w:val="auto"/>
          <w:highlight w:val="none"/>
          <w:lang w:val="zh-CN" w:eastAsia="zh-CN"/>
        </w:rPr>
        <w:t>注：</w:t>
      </w:r>
    </w:p>
    <w:p w14:paraId="5441C23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highlight w:val="none"/>
          <w:lang w:val="zh-CN" w:eastAsia="zh-CN"/>
        </w:rPr>
      </w:pPr>
      <w:r>
        <w:rPr>
          <w:rStyle w:val="23"/>
          <w:rFonts w:hint="eastAsia" w:asciiTheme="minorEastAsia" w:hAnsiTheme="minorEastAsia" w:eastAsiaTheme="minorEastAsia" w:cstheme="minorEastAsia"/>
          <w:b w:val="0"/>
          <w:bCs w:val="0"/>
          <w:color w:val="auto"/>
          <w:highlight w:val="none"/>
          <w:lang w:eastAsia="zh-CN"/>
        </w:rPr>
        <w:t>1</w:t>
      </w:r>
      <w:r>
        <w:rPr>
          <w:rStyle w:val="23"/>
          <w:rFonts w:hint="eastAsia" w:asciiTheme="minorEastAsia" w:hAnsiTheme="minorEastAsia" w:eastAsiaTheme="minorEastAsia" w:cstheme="minorEastAsia"/>
          <w:b w:val="0"/>
          <w:bCs w:val="0"/>
          <w:color w:val="auto"/>
          <w:highlight w:val="none"/>
          <w:lang w:val="zh-CN" w:eastAsia="zh-CN"/>
        </w:rPr>
        <w:t>、上述要求有涉及尺寸、体积、重量的，除有相应要求外，均允许正负偏离5%；涉及距离、时间等性能表述的，允许正偏离。</w:t>
      </w:r>
    </w:p>
    <w:p w14:paraId="7A58B1E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highlight w:val="none"/>
          <w:lang w:val="zh-CN" w:eastAsia="zh-CN"/>
        </w:rPr>
      </w:pPr>
      <w:r>
        <w:rPr>
          <w:rStyle w:val="23"/>
          <w:rFonts w:hint="eastAsia" w:asciiTheme="minorEastAsia" w:hAnsiTheme="minorEastAsia" w:eastAsiaTheme="minorEastAsia" w:cstheme="minorEastAsia"/>
          <w:b w:val="0"/>
          <w:bCs w:val="0"/>
          <w:color w:val="auto"/>
          <w:highlight w:val="none"/>
          <w:lang w:eastAsia="zh-CN"/>
        </w:rPr>
        <w:t>2</w:t>
      </w:r>
      <w:r>
        <w:rPr>
          <w:rStyle w:val="23"/>
          <w:rFonts w:hint="eastAsia" w:asciiTheme="minorEastAsia" w:hAnsiTheme="minorEastAsia" w:eastAsiaTheme="minorEastAsia" w:cstheme="minorEastAsia"/>
          <w:b w:val="0"/>
          <w:bCs w:val="0"/>
          <w:color w:val="auto"/>
          <w:highlight w:val="none"/>
          <w:lang w:val="zh-CN" w:eastAsia="zh-CN"/>
        </w:rPr>
        <w:t>、本次</w:t>
      </w:r>
      <w:r>
        <w:rPr>
          <w:rStyle w:val="23"/>
          <w:rFonts w:hint="eastAsia" w:asciiTheme="minorEastAsia" w:hAnsiTheme="minorEastAsia" w:eastAsiaTheme="minorEastAsia" w:cstheme="minorEastAsia"/>
          <w:b w:val="0"/>
          <w:bCs w:val="0"/>
          <w:color w:val="auto"/>
          <w:highlight w:val="none"/>
          <w:lang w:val="en-US" w:eastAsia="zh-CN"/>
        </w:rPr>
        <w:t>竞价</w:t>
      </w:r>
      <w:r>
        <w:rPr>
          <w:rStyle w:val="23"/>
          <w:rFonts w:hint="eastAsia" w:asciiTheme="minorEastAsia" w:hAnsiTheme="minorEastAsia" w:eastAsiaTheme="minorEastAsia" w:cstheme="minorEastAsia"/>
          <w:b w:val="0"/>
          <w:bCs w:val="0"/>
          <w:color w:val="auto"/>
          <w:highlight w:val="none"/>
          <w:lang w:val="zh-CN" w:eastAsia="zh-CN"/>
        </w:rPr>
        <w:t>为一个合同包，供应商对同一合同包内所有品目号内容</w:t>
      </w:r>
      <w:r>
        <w:rPr>
          <w:rStyle w:val="23"/>
          <w:rFonts w:hint="eastAsia" w:asciiTheme="minorEastAsia" w:hAnsiTheme="minorEastAsia" w:eastAsiaTheme="minorEastAsia" w:cstheme="minorEastAsia"/>
          <w:b w:val="0"/>
          <w:bCs w:val="0"/>
          <w:color w:val="auto"/>
          <w:highlight w:val="none"/>
          <w:lang w:val="en-US" w:eastAsia="zh-CN"/>
        </w:rPr>
        <w:t>报价响应</w:t>
      </w:r>
      <w:r>
        <w:rPr>
          <w:rStyle w:val="23"/>
          <w:rFonts w:hint="eastAsia" w:asciiTheme="minorEastAsia" w:hAnsiTheme="minorEastAsia" w:eastAsiaTheme="minorEastAsia" w:cstheme="minorEastAsia"/>
          <w:b w:val="0"/>
          <w:bCs w:val="0"/>
          <w:color w:val="auto"/>
          <w:highlight w:val="none"/>
          <w:lang w:val="zh-CN" w:eastAsia="zh-CN"/>
        </w:rPr>
        <w:t>时必须完整</w:t>
      </w:r>
      <w:r>
        <w:rPr>
          <w:rStyle w:val="23"/>
          <w:rFonts w:hint="eastAsia" w:asciiTheme="minorEastAsia" w:hAnsiTheme="minorEastAsia" w:eastAsiaTheme="minorEastAsia" w:cstheme="minorEastAsia"/>
          <w:b w:val="0"/>
          <w:bCs w:val="0"/>
          <w:color w:val="auto"/>
          <w:highlight w:val="none"/>
          <w:lang w:val="en-US" w:eastAsia="zh-CN"/>
        </w:rPr>
        <w:t>。</w:t>
      </w:r>
    </w:p>
    <w:p w14:paraId="31D24DE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highlight w:val="none"/>
          <w:lang w:val="zh-CN" w:eastAsia="zh-CN"/>
        </w:rPr>
      </w:pPr>
      <w:r>
        <w:rPr>
          <w:rStyle w:val="23"/>
          <w:rFonts w:hint="eastAsia" w:asciiTheme="minorEastAsia" w:hAnsiTheme="minorEastAsia" w:eastAsiaTheme="minorEastAsia" w:cstheme="minorEastAsia"/>
          <w:b w:val="0"/>
          <w:bCs w:val="0"/>
          <w:color w:val="auto"/>
          <w:highlight w:val="none"/>
          <w:lang w:eastAsia="zh-CN"/>
        </w:rPr>
        <w:t>3</w:t>
      </w:r>
      <w:r>
        <w:rPr>
          <w:rStyle w:val="23"/>
          <w:rFonts w:hint="eastAsia" w:asciiTheme="minorEastAsia" w:hAnsiTheme="minorEastAsia" w:eastAsiaTheme="minorEastAsia" w:cstheme="minorEastAsia"/>
          <w:b w:val="0"/>
          <w:bCs w:val="0"/>
          <w:color w:val="auto"/>
          <w:highlight w:val="none"/>
          <w:lang w:val="zh-CN" w:eastAsia="zh-CN"/>
        </w:rPr>
        <w:t>、成交</w:t>
      </w:r>
      <w:r>
        <w:rPr>
          <w:rStyle w:val="23"/>
          <w:rFonts w:hint="eastAsia" w:asciiTheme="minorEastAsia" w:hAnsiTheme="minorEastAsia" w:eastAsiaTheme="minorEastAsia" w:cstheme="minorEastAsia"/>
          <w:b w:val="0"/>
          <w:bCs w:val="0"/>
          <w:color w:val="auto"/>
          <w:highlight w:val="none"/>
          <w:lang w:val="en-US" w:eastAsia="zh-CN"/>
        </w:rPr>
        <w:t>人</w:t>
      </w:r>
      <w:r>
        <w:rPr>
          <w:rStyle w:val="23"/>
          <w:rFonts w:hint="eastAsia" w:asciiTheme="minorEastAsia" w:hAnsiTheme="minorEastAsia" w:eastAsiaTheme="minorEastAsia" w:cstheme="minorEastAsia"/>
          <w:b w:val="0"/>
          <w:bCs w:val="0"/>
          <w:color w:val="auto"/>
          <w:highlight w:val="none"/>
          <w:lang w:val="zh-CN" w:eastAsia="zh-CN"/>
        </w:rPr>
        <w:t>不得转包他人，若发现转包，采购方有权终止合同。</w:t>
      </w:r>
    </w:p>
    <w:p w14:paraId="50B868E1">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eastAsia="zh-CN"/>
        </w:rPr>
        <w:t>（二）服务要求</w:t>
      </w:r>
    </w:p>
    <w:p w14:paraId="37E37498">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1、供应商可自行到采购人现场考察，供应商未</w:t>
      </w:r>
      <w:r>
        <w:rPr>
          <w:rFonts w:hint="eastAsia" w:asciiTheme="minorEastAsia" w:hAnsiTheme="minorEastAsia" w:eastAsiaTheme="minorEastAsia" w:cstheme="minorEastAsia"/>
          <w:color w:val="auto"/>
          <w:highlight w:val="none"/>
          <w:lang w:val="en-US" w:eastAsia="zh-CN"/>
        </w:rPr>
        <w:t>到</w:t>
      </w:r>
      <w:r>
        <w:rPr>
          <w:rFonts w:hint="eastAsia" w:asciiTheme="minorEastAsia" w:hAnsiTheme="minorEastAsia" w:eastAsiaTheme="minorEastAsia" w:cstheme="minorEastAsia"/>
          <w:color w:val="auto"/>
          <w:highlight w:val="none"/>
          <w:lang w:eastAsia="zh-CN"/>
        </w:rPr>
        <w:t>现场考察的，视为供应商完全知悉采购人采购要求，一旦成交必须无条件按照采购人要求施工调试，并确保验收合格。</w:t>
      </w:r>
    </w:p>
    <w:p w14:paraId="3FC18324">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2、供应商不得以设备停产、产品升级等任何理由要求变更所</w:t>
      </w:r>
      <w:r>
        <w:rPr>
          <w:rFonts w:hint="eastAsia" w:asciiTheme="minorEastAsia" w:hAnsiTheme="minorEastAsia" w:eastAsiaTheme="minorEastAsia" w:cstheme="minorEastAsia"/>
          <w:color w:val="auto"/>
          <w:highlight w:val="none"/>
          <w:lang w:val="en-US" w:eastAsia="zh-CN"/>
        </w:rPr>
        <w:t>响应</w:t>
      </w:r>
      <w:r>
        <w:rPr>
          <w:rFonts w:hint="eastAsia" w:asciiTheme="minorEastAsia" w:hAnsiTheme="minorEastAsia" w:eastAsiaTheme="minorEastAsia" w:cstheme="minorEastAsia"/>
          <w:color w:val="auto"/>
          <w:highlight w:val="none"/>
          <w:lang w:eastAsia="zh-CN"/>
        </w:rPr>
        <w:t>的设备品牌及型号，否则采购人有权终止合同，没收履约保证金，并支付采购人本项目成交金额20%的违约金。</w:t>
      </w:r>
    </w:p>
    <w:p w14:paraId="67551B3C">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供应商提供的产品必须是全新的原厂原包装，通过合法渠道获得的的设备(未经使用和非展览会展示样品设备，外观无刮、碰痕迹，并有下列明显标记：名称、品牌型号、制造商标识、产地、出厂日期、出产序列号等)。</w:t>
      </w:r>
    </w:p>
    <w:p w14:paraId="34D1DC4C">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4、供应商务必仔细阅读竞价文件中所规定的，其中包括技术参数在内的所有细则。</w:t>
      </w:r>
    </w:p>
    <w:p w14:paraId="7336A022">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5、供应商须按采购人的要求，开放本项目成交产品的接口，无条件为采购人未来可能的相关扩充、对接项目提供免费接口、端口开放。</w:t>
      </w:r>
    </w:p>
    <w:p w14:paraId="0015067D">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本项目为交钥匙工程，上述采购货物数量、技术参数及要求已包含并不限于人工、材料设备、机械使用、包含可能存在的开槽，墙面恢复等所有费用，清单里未列明但因项目建设需要的其他主材、辅材等材料设备及相关配套费用由供应商自行承担；项目实施过程中，实际安装情况以采购人要求的为准。</w:t>
      </w:r>
    </w:p>
    <w:p w14:paraId="1027DF62">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7、本项目两台核心交换机需</w:t>
      </w:r>
      <w:r>
        <w:rPr>
          <w:rFonts w:hint="eastAsia" w:asciiTheme="minorEastAsia" w:hAnsiTheme="minorEastAsia" w:eastAsiaTheme="minorEastAsia" w:cstheme="minorEastAsia"/>
          <w:color w:val="auto"/>
          <w:highlight w:val="none"/>
          <w:lang w:eastAsia="zh-CN"/>
        </w:rPr>
        <w:t>通过双机部署实现负载均衡</w:t>
      </w:r>
      <w:r>
        <w:rPr>
          <w:rFonts w:hint="eastAsia" w:asciiTheme="minorEastAsia" w:hAnsiTheme="minorEastAsia" w:eastAsiaTheme="minorEastAsia" w:cstheme="minorEastAsia"/>
          <w:color w:val="auto"/>
          <w:highlight w:val="none"/>
          <w:lang w:val="en-US" w:eastAsia="zh-CN"/>
        </w:rPr>
        <w:t>和热备</w:t>
      </w:r>
      <w:r>
        <w:rPr>
          <w:rFonts w:hint="eastAsia" w:asciiTheme="minorEastAsia" w:hAnsiTheme="minorEastAsia" w:eastAsiaTheme="minorEastAsia" w:cstheme="minorEastAsia"/>
          <w:color w:val="auto"/>
          <w:highlight w:val="none"/>
          <w:lang w:eastAsia="zh-CN"/>
        </w:rPr>
        <w:t>。</w:t>
      </w:r>
    </w:p>
    <w:p w14:paraId="61A46509">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8、需按采购人要求对与项目实施有关的设备进行移机、部署及调试</w:t>
      </w:r>
      <w:r>
        <w:rPr>
          <w:rFonts w:hint="eastAsia" w:asciiTheme="minorEastAsia" w:hAnsiTheme="minorEastAsia" w:eastAsiaTheme="minorEastAsia" w:cstheme="minorEastAsia"/>
          <w:color w:val="auto"/>
          <w:highlight w:val="none"/>
          <w:lang w:eastAsia="zh-CN"/>
        </w:rPr>
        <w:t>。</w:t>
      </w:r>
    </w:p>
    <w:p w14:paraId="725C16E6">
      <w:pPr>
        <w:pStyle w:val="17"/>
        <w:keepNext/>
        <w:keepLines/>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lang w:eastAsia="zh-CN"/>
        </w:rPr>
        <w:t>须在签订合同前提供与</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lang w:eastAsia="zh-CN"/>
        </w:rPr>
        <w:t>现有入侵防御系统双机热备的测试方案及原厂出具的双机热备兼容性承诺函。</w:t>
      </w:r>
      <w:r>
        <w:rPr>
          <w:rFonts w:hint="eastAsia" w:asciiTheme="minorEastAsia" w:hAnsiTheme="minorEastAsia" w:eastAsiaTheme="minorEastAsia" w:cstheme="minorEastAsia"/>
          <w:color w:val="auto"/>
          <w:highlight w:val="none"/>
          <w:lang w:eastAsia="zh-CN"/>
        </w:rPr>
        <w:t>若</w:t>
      </w:r>
      <w:r>
        <w:rPr>
          <w:rFonts w:hint="eastAsia" w:asciiTheme="minorEastAsia" w:hAnsiTheme="minorEastAsia" w:eastAsiaTheme="minorEastAsia" w:cstheme="minorEastAsia"/>
          <w:color w:val="auto"/>
          <w:highlight w:val="none"/>
          <w:lang w:val="en-US" w:eastAsia="zh-CN"/>
        </w:rPr>
        <w:t>成交人</w:t>
      </w:r>
      <w:r>
        <w:rPr>
          <w:rFonts w:hint="eastAsia" w:asciiTheme="minorEastAsia" w:hAnsiTheme="minorEastAsia" w:eastAsiaTheme="minorEastAsia" w:cstheme="minorEastAsia"/>
          <w:color w:val="auto"/>
          <w:highlight w:val="none"/>
          <w:lang w:eastAsia="zh-CN"/>
        </w:rPr>
        <w:t>无法满足</w:t>
      </w:r>
      <w:r>
        <w:rPr>
          <w:rFonts w:hint="eastAsia" w:asciiTheme="minorEastAsia" w:hAnsiTheme="minorEastAsia" w:eastAsiaTheme="minorEastAsia" w:cstheme="minorEastAsia"/>
          <w:color w:val="auto"/>
          <w:highlight w:val="none"/>
          <w:lang w:val="en-US" w:eastAsia="zh-CN"/>
        </w:rPr>
        <w:t>采购人的</w:t>
      </w:r>
      <w:r>
        <w:rPr>
          <w:rFonts w:hint="eastAsia" w:asciiTheme="minorEastAsia" w:hAnsiTheme="minorEastAsia" w:eastAsiaTheme="minorEastAsia" w:cstheme="minorEastAsia"/>
          <w:color w:val="auto"/>
          <w:highlight w:val="none"/>
          <w:lang w:eastAsia="zh-CN"/>
        </w:rPr>
        <w:t>双机热备要求，则采购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lang w:eastAsia="zh-CN"/>
        </w:rPr>
        <w:t>有权取消其成交资格，并按虚假响应处理，成交人将承担相应法律责任。</w:t>
      </w:r>
    </w:p>
    <w:p w14:paraId="331ACE81">
      <w:pPr>
        <w:keepNext w:val="0"/>
        <w:keepLines w:val="0"/>
        <w:pageBreakBefore w:val="0"/>
        <w:kinsoku/>
        <w:overflowPunct/>
        <w:topLinePunct w:val="0"/>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53B2CBF2">
      <w:pPr>
        <w:pStyle w:val="16"/>
        <w:keepNext w:val="0"/>
        <w:keepLines w:val="0"/>
        <w:pageBreakBefore w:val="0"/>
        <w:kinsoku/>
        <w:overflowPunct/>
        <w:topLinePunct w:val="0"/>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b w:val="0"/>
          <w:bCs w:val="0"/>
          <w:color w:val="auto"/>
          <w:kern w:val="0"/>
          <w:sz w:val="24"/>
          <w:highlight w:val="none"/>
        </w:rPr>
      </w:pPr>
      <w:r>
        <w:rPr>
          <w:rStyle w:val="23"/>
          <w:rFonts w:hint="eastAsia" w:asciiTheme="minorEastAsia" w:hAnsiTheme="minorEastAsia" w:eastAsiaTheme="minorEastAsia" w:cstheme="minorEastAsia"/>
          <w:color w:val="auto"/>
          <w:highlight w:val="none"/>
        </w:rPr>
        <w:t>1、交付地点：</w:t>
      </w:r>
      <w:r>
        <w:rPr>
          <w:rStyle w:val="23"/>
          <w:rFonts w:hint="eastAsia" w:asciiTheme="minorEastAsia" w:hAnsiTheme="minorEastAsia" w:eastAsiaTheme="minorEastAsia" w:cstheme="minorEastAsia"/>
          <w:b w:val="0"/>
          <w:bCs w:val="0"/>
          <w:color w:val="auto"/>
          <w:highlight w:val="none"/>
          <w:lang w:eastAsia="zh-CN"/>
        </w:rPr>
        <w:t>福建省龙岩市新罗区凤凰北路2号</w:t>
      </w:r>
      <w:r>
        <w:rPr>
          <w:rStyle w:val="23"/>
          <w:rFonts w:hint="eastAsia" w:asciiTheme="minorEastAsia" w:hAnsiTheme="minorEastAsia" w:eastAsiaTheme="minorEastAsia" w:cstheme="minorEastAsia"/>
          <w:b w:val="0"/>
          <w:bCs w:val="0"/>
          <w:color w:val="auto"/>
          <w:highlight w:val="none"/>
        </w:rPr>
        <w:t>，</w:t>
      </w:r>
      <w:r>
        <w:rPr>
          <w:rStyle w:val="23"/>
          <w:rFonts w:hint="eastAsia" w:asciiTheme="minorEastAsia" w:hAnsiTheme="minorEastAsia" w:eastAsiaTheme="minorEastAsia" w:cstheme="minorEastAsia"/>
          <w:b w:val="0"/>
          <w:bCs w:val="0"/>
          <w:color w:val="auto"/>
          <w:highlight w:val="none"/>
          <w:lang w:val="en-US" w:eastAsia="zh-CN"/>
        </w:rPr>
        <w:t>具体以</w:t>
      </w:r>
      <w:r>
        <w:rPr>
          <w:rStyle w:val="23"/>
          <w:rFonts w:hint="eastAsia" w:asciiTheme="minorEastAsia" w:hAnsiTheme="minorEastAsia" w:eastAsiaTheme="minorEastAsia" w:cstheme="minorEastAsia"/>
          <w:b w:val="0"/>
          <w:bCs w:val="0"/>
          <w:color w:val="auto"/>
          <w:highlight w:val="none"/>
        </w:rPr>
        <w:t>采购人指定地点</w:t>
      </w:r>
      <w:r>
        <w:rPr>
          <w:rStyle w:val="23"/>
          <w:rFonts w:hint="eastAsia" w:asciiTheme="minorEastAsia" w:hAnsiTheme="minorEastAsia" w:eastAsiaTheme="minorEastAsia" w:cstheme="minorEastAsia"/>
          <w:b w:val="0"/>
          <w:bCs w:val="0"/>
          <w:color w:val="auto"/>
          <w:highlight w:val="none"/>
          <w:lang w:val="en-US" w:eastAsia="zh-CN"/>
        </w:rPr>
        <w:t>为准</w:t>
      </w:r>
      <w:r>
        <w:rPr>
          <w:rStyle w:val="23"/>
          <w:rFonts w:hint="eastAsia" w:asciiTheme="minorEastAsia" w:hAnsiTheme="minorEastAsia" w:eastAsiaTheme="minorEastAsia" w:cstheme="minorEastAsia"/>
          <w:b w:val="0"/>
          <w:bCs w:val="0"/>
          <w:color w:val="auto"/>
          <w:highlight w:val="none"/>
        </w:rPr>
        <w:t>。</w:t>
      </w:r>
    </w:p>
    <w:p w14:paraId="0B1946AC">
      <w:pPr>
        <w:pStyle w:val="16"/>
        <w:keepNext w:val="0"/>
        <w:keepLines w:val="0"/>
        <w:pageBreakBefore w:val="0"/>
        <w:kinsoku/>
        <w:overflowPunct/>
        <w:topLinePunct w:val="0"/>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color w:val="auto"/>
          <w:highlight w:val="none"/>
        </w:rPr>
        <w:t>2、</w:t>
      </w:r>
      <w:r>
        <w:rPr>
          <w:rStyle w:val="23"/>
          <w:rFonts w:hint="eastAsia" w:asciiTheme="minorEastAsia" w:hAnsiTheme="minorEastAsia" w:eastAsiaTheme="minorEastAsia" w:cstheme="minorEastAsia"/>
          <w:color w:val="auto"/>
          <w:highlight w:val="none"/>
          <w:lang w:val="en-US" w:eastAsia="zh-CN"/>
        </w:rPr>
        <w:t>交货时间</w:t>
      </w:r>
      <w:r>
        <w:rPr>
          <w:rStyle w:val="23"/>
          <w:rFonts w:hint="eastAsia" w:asciiTheme="minorEastAsia" w:hAnsiTheme="minorEastAsia" w:eastAsiaTheme="minorEastAsia" w:cstheme="minorEastAsia"/>
          <w:color w:val="auto"/>
          <w:highlight w:val="none"/>
        </w:rPr>
        <w:t>：</w:t>
      </w:r>
      <w:r>
        <w:rPr>
          <w:rStyle w:val="23"/>
          <w:rFonts w:hint="eastAsia" w:asciiTheme="minorEastAsia" w:hAnsiTheme="minorEastAsia" w:eastAsiaTheme="minorEastAsia" w:cstheme="minorEastAsia"/>
          <w:b w:val="0"/>
          <w:bCs w:val="0"/>
          <w:color w:val="auto"/>
          <w:highlight w:val="none"/>
          <w:lang w:eastAsia="zh-CN"/>
        </w:rPr>
        <w:t>合同签订后25个工作日内供</w:t>
      </w:r>
      <w:r>
        <w:rPr>
          <w:rStyle w:val="23"/>
          <w:rFonts w:hint="eastAsia" w:ascii="宋体" w:hAnsi="宋体" w:cs="宋体"/>
          <w:b w:val="0"/>
          <w:bCs/>
          <w:color w:val="auto"/>
          <w:kern w:val="0"/>
          <w:sz w:val="24"/>
          <w:highlight w:val="none"/>
        </w:rPr>
        <w:t>货并安装调试完成</w:t>
      </w:r>
      <w:r>
        <w:rPr>
          <w:rFonts w:hint="eastAsia" w:asciiTheme="minorEastAsia" w:hAnsiTheme="minorEastAsia" w:eastAsiaTheme="minorEastAsia" w:cstheme="minorEastAsia"/>
          <w:b w:val="0"/>
          <w:bCs w:val="0"/>
          <w:color w:val="auto"/>
          <w:highlight w:val="none"/>
        </w:rPr>
        <w:t>。</w:t>
      </w:r>
    </w:p>
    <w:p w14:paraId="33F1CD81">
      <w:pPr>
        <w:pStyle w:val="16"/>
        <w:keepNext w:val="0"/>
        <w:keepLines w:val="0"/>
        <w:pageBreakBefore w:val="0"/>
        <w:kinsoku/>
        <w:overflowPunct/>
        <w:topLinePunct w:val="0"/>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b w:val="0"/>
          <w:bCs w:val="0"/>
          <w:color w:val="auto"/>
          <w:highlight w:val="none"/>
        </w:rPr>
      </w:pPr>
      <w:r>
        <w:rPr>
          <w:rStyle w:val="23"/>
          <w:rFonts w:hint="eastAsia" w:asciiTheme="minorEastAsia" w:hAnsiTheme="minorEastAsia" w:eastAsiaTheme="minorEastAsia" w:cstheme="minorEastAsia"/>
          <w:color w:val="auto"/>
          <w:highlight w:val="none"/>
        </w:rPr>
        <w:t>3、交货条件：</w:t>
      </w:r>
      <w:r>
        <w:rPr>
          <w:rStyle w:val="23"/>
          <w:rFonts w:hint="eastAsia" w:ascii="宋体" w:hAnsi="宋体" w:cs="宋体"/>
          <w:b w:val="0"/>
          <w:bCs/>
          <w:color w:val="auto"/>
          <w:kern w:val="0"/>
          <w:sz w:val="24"/>
          <w:highlight w:val="none"/>
        </w:rPr>
        <w:t>货物应按生产厂家的产品出厂检验标准、</w:t>
      </w:r>
      <w:r>
        <w:rPr>
          <w:rStyle w:val="23"/>
          <w:rFonts w:hint="eastAsia" w:cs="宋体"/>
          <w:b w:val="0"/>
          <w:bCs/>
          <w:color w:val="auto"/>
          <w:kern w:val="0"/>
          <w:sz w:val="24"/>
          <w:highlight w:val="none"/>
          <w:lang w:eastAsia="zh-CN"/>
        </w:rPr>
        <w:t>竞价</w:t>
      </w:r>
      <w:r>
        <w:rPr>
          <w:rStyle w:val="23"/>
          <w:rFonts w:hint="eastAsia" w:ascii="宋体" w:hAnsi="宋体" w:cs="宋体"/>
          <w:b w:val="0"/>
          <w:bCs/>
          <w:color w:val="auto"/>
          <w:kern w:val="0"/>
          <w:sz w:val="24"/>
          <w:highlight w:val="none"/>
        </w:rPr>
        <w:t>文件、响应文件以及国家和行业验收规范要求及合同中的相关条款进行数量及质量的验收。收货过程中，如发现破损、变形、运行不正常等问题，采购人有权拒收并要求换货</w:t>
      </w:r>
      <w:r>
        <w:rPr>
          <w:rStyle w:val="23"/>
          <w:rFonts w:hint="eastAsia" w:asciiTheme="minorEastAsia" w:hAnsiTheme="minorEastAsia" w:eastAsiaTheme="minorEastAsia" w:cstheme="minorEastAsia"/>
          <w:color w:val="auto"/>
          <w:highlight w:val="none"/>
        </w:rPr>
        <w:t>。</w:t>
      </w:r>
    </w:p>
    <w:p w14:paraId="27641D8B">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auto"/>
          <w:szCs w:val="21"/>
          <w:highlight w:val="none"/>
          <w:lang w:val="en-US" w:eastAsia="zh-CN"/>
        </w:rPr>
      </w:pPr>
      <w:r>
        <w:rPr>
          <w:rStyle w:val="23"/>
          <w:rFonts w:hint="eastAsia" w:asciiTheme="minorEastAsia" w:hAnsiTheme="minorEastAsia" w:eastAsiaTheme="minorEastAsia" w:cstheme="minorEastAsia"/>
          <w:color w:val="auto"/>
          <w:highlight w:val="none"/>
        </w:rPr>
        <w:t>4、履约保证金</w:t>
      </w:r>
      <w:r>
        <w:rPr>
          <w:rStyle w:val="23"/>
          <w:rFonts w:hint="eastAsia" w:asciiTheme="minorEastAsia" w:hAnsiTheme="minorEastAsia" w:eastAsiaTheme="minorEastAsia" w:cstheme="minorEastAsia"/>
          <w:color w:val="auto"/>
          <w:highlight w:val="none"/>
          <w:lang w:val="en-US" w:eastAsia="zh-CN"/>
        </w:rPr>
        <w:t>:</w:t>
      </w:r>
    </w:p>
    <w:p w14:paraId="147B6A59">
      <w:pPr>
        <w:keepNext w:val="0"/>
        <w:keepLines w:val="0"/>
        <w:pageBreakBefore w:val="0"/>
        <w:kinsoku/>
        <w:overflowPunct/>
        <w:topLinePunct w:val="0"/>
        <w:bidi w:val="0"/>
        <w:adjustRightInd/>
        <w:snapToGrid/>
        <w:spacing w:beforeAutospacing="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highlight w:val="none"/>
        </w:rPr>
        <w:t>履约保证金百分比：</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合同金额的5%。说明：成交人在签订合同前以银行转账或无条件银行保函的形式向采购人缴纳合同总金额5%作为履约保证金。</w:t>
      </w:r>
      <w:r>
        <w:rPr>
          <w:rStyle w:val="23"/>
          <w:rFonts w:hint="eastAsia" w:ascii="宋体" w:hAnsi="宋体" w:cs="宋体"/>
          <w:b w:val="0"/>
          <w:bCs/>
          <w:color w:val="auto"/>
          <w:kern w:val="0"/>
          <w:sz w:val="24"/>
          <w:highlight w:val="none"/>
        </w:rPr>
        <w:t>履约保证金在合同约定全部事项（含3年售后维保期）履行完毕，经采购人确认双方无未了事项后，采购人在收到</w:t>
      </w:r>
      <w:r>
        <w:rPr>
          <w:rStyle w:val="23"/>
          <w:rFonts w:hint="eastAsia" w:ascii="宋体" w:hAnsi="宋体" w:cs="宋体"/>
          <w:b w:val="0"/>
          <w:bCs/>
          <w:color w:val="auto"/>
          <w:kern w:val="0"/>
          <w:sz w:val="24"/>
          <w:highlight w:val="none"/>
          <w:lang w:eastAsia="zh-CN"/>
        </w:rPr>
        <w:t>成交人</w:t>
      </w:r>
      <w:r>
        <w:rPr>
          <w:rStyle w:val="23"/>
          <w:rFonts w:hint="eastAsia" w:ascii="宋体" w:hAnsi="宋体" w:cs="宋体"/>
          <w:b w:val="0"/>
          <w:bCs/>
          <w:color w:val="auto"/>
          <w:kern w:val="0"/>
          <w:sz w:val="24"/>
          <w:highlight w:val="none"/>
        </w:rPr>
        <w:t>书面申请30日内无息退还</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w:t>
      </w:r>
    </w:p>
    <w:p w14:paraId="1A568156">
      <w:pPr>
        <w:pStyle w:val="29"/>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color w:val="auto"/>
          <w:kern w:val="0"/>
          <w:sz w:val="24"/>
          <w:szCs w:val="22"/>
          <w:highlight w:val="none"/>
        </w:rPr>
      </w:pPr>
      <w:r>
        <w:rPr>
          <w:rStyle w:val="23"/>
          <w:rFonts w:hint="eastAsia" w:asciiTheme="minorEastAsia" w:hAnsiTheme="minorEastAsia" w:eastAsiaTheme="minorEastAsia" w:cstheme="minorEastAsia"/>
          <w:color w:val="auto"/>
          <w:kern w:val="0"/>
          <w:sz w:val="24"/>
          <w:highlight w:val="none"/>
          <w:lang w:val="en-US" w:eastAsia="zh-CN"/>
        </w:rPr>
        <w:t>5、</w:t>
      </w:r>
      <w:r>
        <w:rPr>
          <w:rStyle w:val="23"/>
          <w:rFonts w:hint="eastAsia" w:asciiTheme="minorEastAsia" w:hAnsiTheme="minorEastAsia" w:eastAsiaTheme="minorEastAsia" w:cstheme="minorEastAsia"/>
          <w:color w:val="auto"/>
          <w:kern w:val="0"/>
          <w:sz w:val="24"/>
          <w:highlight w:val="none"/>
        </w:rPr>
        <w:t>合同支付方式</w:t>
      </w:r>
      <w:r>
        <w:rPr>
          <w:rStyle w:val="23"/>
          <w:rFonts w:hint="eastAsia" w:asciiTheme="minorEastAsia" w:hAnsiTheme="minorEastAsia" w:eastAsiaTheme="minorEastAsia" w:cstheme="minorEastAsia"/>
          <w:color w:val="auto"/>
          <w:kern w:val="0"/>
          <w:sz w:val="24"/>
          <w:highlight w:val="none"/>
          <w:lang w:eastAsia="zh-CN"/>
        </w:rPr>
        <w:t>：</w:t>
      </w:r>
      <w:r>
        <w:rPr>
          <w:rFonts w:hint="eastAsia" w:ascii="宋体" w:hAnsi="宋体" w:cs="宋体"/>
          <w:color w:val="auto"/>
          <w:sz w:val="24"/>
          <w:highlight w:val="none"/>
        </w:rPr>
        <w:t>货到安装调试并经采购人验收合格后，由</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开具税务发票，采购人收到发票一个月内以转账方式支付100%合同款项</w:t>
      </w:r>
      <w:r>
        <w:rPr>
          <w:rFonts w:hint="eastAsia" w:ascii="宋体" w:hAnsi="宋体" w:cs="宋体"/>
          <w:color w:val="auto"/>
          <w:kern w:val="0"/>
          <w:sz w:val="24"/>
          <w:szCs w:val="22"/>
          <w:highlight w:val="none"/>
        </w:rPr>
        <w:t>。</w:t>
      </w:r>
    </w:p>
    <w:p w14:paraId="2CE6BF98">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验收</w:t>
      </w:r>
    </w:p>
    <w:p w14:paraId="05AA3973">
      <w:pPr>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Hans"/>
        </w:rPr>
        <w:t>验收标准：根据本</w:t>
      </w:r>
      <w:r>
        <w:rPr>
          <w:rFonts w:hint="eastAsia" w:asciiTheme="minorEastAsia" w:hAnsiTheme="minorEastAsia" w:eastAsiaTheme="minorEastAsia" w:cstheme="minorEastAsia"/>
          <w:color w:val="auto"/>
          <w:kern w:val="0"/>
          <w:sz w:val="24"/>
          <w:szCs w:val="24"/>
          <w:highlight w:val="none"/>
          <w:lang w:val="en-US" w:eastAsia="zh-CN"/>
        </w:rPr>
        <w:t>竞价</w:t>
      </w:r>
      <w:r>
        <w:rPr>
          <w:rFonts w:hint="eastAsia" w:asciiTheme="minorEastAsia" w:hAnsiTheme="minorEastAsia" w:eastAsiaTheme="minorEastAsia" w:cstheme="minorEastAsia"/>
          <w:color w:val="auto"/>
          <w:kern w:val="0"/>
          <w:sz w:val="24"/>
          <w:szCs w:val="24"/>
          <w:highlight w:val="none"/>
          <w:lang w:val="en-US" w:eastAsia="zh-Hans"/>
        </w:rPr>
        <w:t>文件、</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lang w:val="en-US" w:eastAsia="zh-Hans"/>
        </w:rPr>
        <w:t>文件、承诺及有关国家、行业规定进行验收。</w:t>
      </w:r>
    </w:p>
    <w:p w14:paraId="49B8797C">
      <w:pPr>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（2）成交人</w:t>
      </w:r>
      <w:r>
        <w:rPr>
          <w:rFonts w:hint="eastAsia" w:asciiTheme="minorEastAsia" w:hAnsiTheme="minorEastAsia" w:eastAsiaTheme="minorEastAsia" w:cstheme="minorEastAsia"/>
          <w:color w:val="auto"/>
          <w:kern w:val="0"/>
          <w:sz w:val="24"/>
          <w:szCs w:val="24"/>
          <w:highlight w:val="none"/>
          <w:lang w:val="en-US" w:eastAsia="zh-Hans"/>
        </w:rPr>
        <w:t>根据采购</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lang w:val="en-US" w:eastAsia="zh-Hans"/>
        </w:rPr>
        <w:t>要求进行产品安装、调试、测试、试运行后，由采购人或采购人聘请技术专家检测作为验收标准依据并组织进行使用性能方面的验收，所需检测费用包含在报价中。</w:t>
      </w:r>
    </w:p>
    <w:p w14:paraId="62C36097">
      <w:pPr>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Hans"/>
        </w:rPr>
        <w:t>验收时</w:t>
      </w:r>
      <w:r>
        <w:rPr>
          <w:rFonts w:hint="eastAsia" w:asciiTheme="minorEastAsia" w:hAnsiTheme="minorEastAsia" w:eastAsiaTheme="minorEastAsia" w:cstheme="minorEastAsia"/>
          <w:color w:val="auto"/>
          <w:kern w:val="0"/>
          <w:sz w:val="24"/>
          <w:szCs w:val="24"/>
          <w:highlight w:val="none"/>
          <w:lang w:val="en-US" w:eastAsia="zh-CN"/>
        </w:rPr>
        <w:t>成交人</w:t>
      </w:r>
      <w:r>
        <w:rPr>
          <w:rFonts w:hint="eastAsia" w:asciiTheme="minorEastAsia" w:hAnsiTheme="minorEastAsia" w:eastAsiaTheme="minorEastAsia" w:cstheme="minorEastAsia"/>
          <w:color w:val="auto"/>
          <w:kern w:val="0"/>
          <w:sz w:val="24"/>
          <w:szCs w:val="24"/>
          <w:highlight w:val="none"/>
          <w:lang w:val="en-US" w:eastAsia="zh-Hans"/>
        </w:rPr>
        <w:t>必须在场，并提供产品合格证、质量保证文件等相关证明材料；</w:t>
      </w:r>
      <w:r>
        <w:rPr>
          <w:rFonts w:hint="eastAsia" w:asciiTheme="minorEastAsia" w:hAnsiTheme="minorEastAsia" w:eastAsiaTheme="minorEastAsia" w:cstheme="minorEastAsia"/>
          <w:color w:val="auto"/>
          <w:kern w:val="0"/>
          <w:sz w:val="24"/>
          <w:szCs w:val="24"/>
          <w:highlight w:val="none"/>
          <w:lang w:val="en-US" w:eastAsia="zh-CN"/>
        </w:rPr>
        <w:t>成交人</w:t>
      </w:r>
      <w:r>
        <w:rPr>
          <w:rFonts w:hint="eastAsia" w:asciiTheme="minorEastAsia" w:hAnsiTheme="minorEastAsia" w:eastAsiaTheme="minorEastAsia" w:cstheme="minorEastAsia"/>
          <w:color w:val="auto"/>
          <w:kern w:val="0"/>
          <w:sz w:val="24"/>
          <w:szCs w:val="24"/>
          <w:highlight w:val="none"/>
          <w:lang w:val="en-US" w:eastAsia="zh-Hans"/>
        </w:rPr>
        <w:t>拒不在场的，以采购人验收的结果为准。</w:t>
      </w:r>
    </w:p>
    <w:p w14:paraId="07853B03">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售后服务</w:t>
      </w:r>
    </w:p>
    <w:p w14:paraId="5FF686B9">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售后维保期3年；维保期内，维修响应时间为2小时内到达现场处理，48小时内完成问题处理，每季度上门对系统设备进行专业保养及维护，以及软件升级。</w:t>
      </w:r>
    </w:p>
    <w:p w14:paraId="003D837E">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违约责任</w:t>
      </w:r>
    </w:p>
    <w:p w14:paraId="5840E23B">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）成交人所供货物品种、型号等技术质量参数不符合竞价文件要求及</w:t>
      </w:r>
      <w:r>
        <w:rPr>
          <w:rFonts w:hint="eastAsia" w:ascii="宋体" w:hAnsi="宋体" w:cs="宋体"/>
          <w:bCs/>
          <w:color w:val="auto"/>
          <w:kern w:val="2"/>
          <w:sz w:val="24"/>
          <w:highlight w:val="none"/>
          <w:lang w:val="en-US" w:eastAsia="zh-CN"/>
        </w:rPr>
        <w:t>响应</w:t>
      </w:r>
      <w:r>
        <w:rPr>
          <w:rFonts w:ascii="宋体" w:hAnsi="宋体" w:cs="宋体"/>
          <w:bCs/>
          <w:color w:val="auto"/>
          <w:kern w:val="2"/>
          <w:sz w:val="24"/>
          <w:highlight w:val="none"/>
          <w:lang w:val="zh-CN" w:eastAsia="zh-CN"/>
        </w:rPr>
        <w:t>承诺</w:t>
      </w:r>
      <w:r>
        <w:rPr>
          <w:rFonts w:hint="eastAsia" w:asciiTheme="minorEastAsia" w:hAnsiTheme="minorEastAsia" w:eastAsiaTheme="minorEastAsia" w:cstheme="minorEastAsia"/>
          <w:color w:val="auto"/>
          <w:sz w:val="24"/>
          <w:szCs w:val="24"/>
          <w:highlight w:val="none"/>
          <w:lang w:val="zh-CN" w:eastAsia="zh-CN"/>
        </w:rPr>
        <w:t>的，采购人有权要求成交人限期整改，成交人未限期整改的，采购人有权要求成交人支付合同金额20%的违约金，该违约金从采购人应付货款里相应抵扣；逾期整改超过10日的，成交人除了应支付合同金额20%的违约金外，采购人有权拒收，并终止合同，没收履约保证金，造成采购人经济损失的，成交人应予赔偿。对于成交人已安装部分，采购人有权要求成交人限期拆除并视情对已拆除或更改软硬件予以恢复，逾期拆除或恢复的，采购人有权自行或聘请他人拆除或恢复，相关费用全部由成交人承担。</w:t>
      </w:r>
    </w:p>
    <w:p w14:paraId="58E6363D">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成交人不能如期交付并完成安装调试货物的，除经采购人视情同意延期外，每逾期一日，成交人应按合同金额的2%赔偿给采购人经济损失；逾期超过10日的，采购人除了有权要求成交人应按合同金额的2%赔偿给采购人经济损失外，还有权有权拒收，并终止合同，没收履约保证金,造成采购人经济损失的，成交人应予赔偿。对于成交人已安装部分，采购人有权要求成交人限期拆除并视情对已拆除或更改软硬件予以恢复，逾期拆除或恢复的，采购人有权自行或聘请他人拆除或恢复，相关费用全部由成交人承担。</w:t>
      </w:r>
    </w:p>
    <w:p w14:paraId="679C6A48">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）成交人除存在本条款第</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项、第</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项情形并承担相应责任外，成交人在售后维保期内未履行或未完全履行本竞价文件其他要求的，每违约一次应向采购人支付违约金1000元，若因此给采购人造成损失的，成交人还应赔偿采购人所受的损失；累计超过三次的，同时扣除全部履约保证金。</w:t>
      </w:r>
    </w:p>
    <w:p w14:paraId="2FEC025B">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在合作期间，成交人必须遵守采购人的各项规章制度，如有进出监区的必须提供合法证件，成交人运送物资进入采购人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采购人有权终止合同并没收履约保证金；若触犯法律移送司法机关处理。</w:t>
      </w:r>
    </w:p>
    <w:p w14:paraId="4F163D0B">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）成交人不得给予采购人工作人员或其他相关人员任何形式不正当利益</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eastAsia="zh-CN"/>
        </w:rPr>
        <w:t>在</w:t>
      </w:r>
      <w:r>
        <w:rPr>
          <w:rFonts w:hint="eastAsia" w:asciiTheme="minorEastAsia" w:hAnsiTheme="minorEastAsia" w:eastAsiaTheme="minorEastAsia" w:cstheme="minorEastAsia"/>
          <w:color w:val="auto"/>
          <w:sz w:val="24"/>
          <w:szCs w:val="24"/>
          <w:highlight w:val="none"/>
          <w:lang w:val="en-US" w:eastAsia="zh-CN"/>
        </w:rPr>
        <w:t>竞价过程</w:t>
      </w:r>
      <w:r>
        <w:rPr>
          <w:rFonts w:hint="eastAsia" w:asciiTheme="minorEastAsia" w:hAnsiTheme="minorEastAsia" w:eastAsiaTheme="minorEastAsia" w:cstheme="minorEastAsia"/>
          <w:color w:val="auto"/>
          <w:sz w:val="24"/>
          <w:szCs w:val="24"/>
          <w:highlight w:val="none"/>
          <w:lang w:val="zh-CN" w:eastAsia="zh-CN"/>
        </w:rPr>
        <w:t>、合同履行过程中，发现成交人以违规方式成交的，或成交人有行贿等违法行为，一经发现的,采购人将视情予以取消成交资格,没收竞价保证金，或终止合同并没收履约保证金,并列入不诚信黑名单，</w:t>
      </w:r>
      <w:r>
        <w:rPr>
          <w:rFonts w:hint="eastAsia" w:asciiTheme="minorEastAsia" w:hAnsiTheme="minorEastAsia" w:eastAsiaTheme="minorEastAsia" w:cstheme="minorEastAsia"/>
          <w:color w:val="auto"/>
          <w:sz w:val="24"/>
          <w:szCs w:val="24"/>
          <w:highlight w:val="none"/>
          <w:lang w:val="zh-CN" w:eastAsia="zh-CN"/>
        </w:rPr>
        <w:t>今后不得参与采购人</w:t>
      </w:r>
      <w:r>
        <w:rPr>
          <w:rFonts w:hint="eastAsia" w:asciiTheme="minorEastAsia" w:hAnsiTheme="minorEastAsia" w:eastAsiaTheme="minorEastAsia" w:cstheme="minorEastAsia"/>
          <w:color w:val="auto"/>
          <w:sz w:val="24"/>
          <w:szCs w:val="24"/>
          <w:highlight w:val="none"/>
          <w:lang w:val="en-US" w:eastAsia="zh-CN"/>
        </w:rPr>
        <w:t>相关采购</w:t>
      </w:r>
      <w:r>
        <w:rPr>
          <w:rFonts w:hint="eastAsia" w:asciiTheme="minorEastAsia" w:hAnsiTheme="minorEastAsia" w:eastAsiaTheme="minorEastAsia" w:cstheme="minorEastAsia"/>
          <w:color w:val="auto"/>
          <w:sz w:val="24"/>
          <w:szCs w:val="24"/>
          <w:highlight w:val="none"/>
          <w:lang w:val="zh-CN" w:eastAsia="zh-CN"/>
        </w:rPr>
        <w:t>项目。</w:t>
      </w:r>
    </w:p>
    <w:p w14:paraId="7B51BCDF">
      <w:pPr>
        <w:pStyle w:val="29"/>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成交人要认真遵守国家保密法律、法规和采购人相关规章制度，履行保密、保守义务；其进入采购人工作区域的工作人员需签订《保密承诺书》，严格履行保密义务，所获得的采购人所有信息（包括并不限于工作信息）应严格保守，未经采购人允许不得违规记录、存储、复制国家秘密信息，不以任何方式泄露所接触和知悉的国家秘密和采购人相关信息，严禁将采购人工作文件等内部资料泄露出去，采购人根据成交人存在的前述违约行为（包括故意或过失）或因前述违约行为（包括故意或过失）造成采购人相关后果等实际情况，除了有权要求成交人承担相应法律责任外，还有权要求成交人偿付合同货款20%的违约金；造成采购人损失的，成交人还应予以赔偿。本条款不因合同届满或解除而失效。</w:t>
      </w:r>
    </w:p>
    <w:p w14:paraId="0114D63E">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eastAsia="zh-CN"/>
        </w:rPr>
        <w:t>）上述违约责任内容与本合同中其他约定有冲突的，违约责任按就高不就低原则处理。</w:t>
      </w:r>
    </w:p>
    <w:p w14:paraId="02F2DA28">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不可抗力</w:t>
      </w:r>
    </w:p>
    <w:p w14:paraId="22A3D24E">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D686052">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）本合同中的不可抗力指不能预见、不能避免、不能克服的客观情况，包括但不限于：自然灾害如地震、台风、洪水、火灾及政府行为、法律规定或其适用的变化或其他任何无法预见、避免或控制的事件。</w:t>
      </w:r>
    </w:p>
    <w:p w14:paraId="33E90592">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10、合同纠纷处理方式</w:t>
      </w:r>
    </w:p>
    <w:p w14:paraId="7D0BA343">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若发生争议，由双方友好协商解决，或根据《中华人民共和国政府采购法》、《中华人民共和国合同法》及政府采购有关规定进行解决；通过前述途径仍无法解决的，可向采购人所在地人民法院提请诉讼。</w:t>
      </w:r>
    </w:p>
    <w:p w14:paraId="00046067">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rPr>
        <w:t>其他事项</w:t>
      </w:r>
    </w:p>
    <w:p w14:paraId="7C66BA22">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（1）除竞价文件另有规定外，若出现有关法律、法规和规章有强制性规定但竞价文件未列明的情形，则成交人应按照有关法律、法规和规章强制性规定执行。</w:t>
      </w:r>
    </w:p>
    <w:p w14:paraId="1D34EE30">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（2）本项目不允许成交人以任何名义和理由进行转包、分包，如有发现，采购人有权单方终止合同;成交人违约对采购人造成损失的，需另行支付相应的赔偿。</w:t>
      </w:r>
    </w:p>
    <w:p w14:paraId="7A91BFE2">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（3）因成交人未履行合同项下义务导致采购人所产生的一切损失（包括但不限于人身财产的损失、律师费、仲裁服务费、诉讼费、保全费、鉴定费等），均由成交人承担赔偿责任。</w:t>
      </w:r>
    </w:p>
    <w:p w14:paraId="105A9B55">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（4）通知与送达：</w:t>
      </w:r>
    </w:p>
    <w:p w14:paraId="1B2B79AE">
      <w:pPr>
        <w:pStyle w:val="29"/>
        <w:keepNext w:val="0"/>
        <w:keepLines w:val="0"/>
        <w:pageBreakBefore w:val="0"/>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成交人确认其送达地址为：</w:t>
      </w:r>
      <w:r>
        <w:rPr>
          <w:rFonts w:hint="eastAsia" w:asciiTheme="minorEastAsia" w:hAnsiTheme="minorEastAsia" w:eastAsiaTheme="minorEastAsia" w:cstheme="minorEastAsia"/>
          <w:bCs/>
          <w:color w:val="auto"/>
          <w:kern w:val="2"/>
          <w:sz w:val="24"/>
          <w:szCs w:val="24"/>
          <w:highlight w:val="none"/>
          <w:u w:val="single"/>
          <w:lang w:val="en-US" w:eastAsia="zh-CN"/>
        </w:rPr>
        <w:t xml:space="preserve">  （说明：竞价时</w:t>
      </w:r>
      <w:r>
        <w:rPr>
          <w:rFonts w:hint="eastAsia" w:asciiTheme="minorEastAsia" w:hAnsiTheme="minorEastAsia" w:eastAsiaTheme="minorEastAsia" w:cstheme="minorEastAsia"/>
          <w:color w:val="auto"/>
          <w:sz w:val="24"/>
          <w:szCs w:val="24"/>
          <w:highlight w:val="none"/>
          <w:u w:val="single"/>
          <w:lang w:val="en-US" w:eastAsia="zh-CN"/>
        </w:rPr>
        <w:t>成交人</w:t>
      </w:r>
      <w:r>
        <w:rPr>
          <w:rFonts w:hint="eastAsia" w:asciiTheme="minorEastAsia" w:hAnsiTheme="minorEastAsia" w:eastAsiaTheme="minorEastAsia" w:cstheme="minorEastAsia"/>
          <w:bCs/>
          <w:color w:val="auto"/>
          <w:kern w:val="2"/>
          <w:sz w:val="24"/>
          <w:szCs w:val="24"/>
          <w:highlight w:val="none"/>
          <w:u w:val="single"/>
          <w:lang w:val="en-US" w:eastAsia="zh-CN"/>
        </w:rPr>
        <w:t>无需填写，在签订采购合同时提供即可，本条款其他空格按本说明执行）</w:t>
      </w:r>
      <w:r>
        <w:rPr>
          <w:rFonts w:hint="eastAsia" w:asciiTheme="minorEastAsia" w:hAnsiTheme="minorEastAsia" w:eastAsiaTheme="minorEastAsia" w:cstheme="minorEastAsia"/>
          <w:bCs/>
          <w:color w:val="auto"/>
          <w:kern w:val="2"/>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14:paraId="2433D2E0">
      <w:pPr>
        <w:pStyle w:val="29"/>
        <w:keepNext w:val="0"/>
        <w:keepLines w:val="0"/>
        <w:pageBreakBefore w:val="0"/>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14:paraId="4FB2494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12、</w:t>
      </w:r>
      <w:r>
        <w:rPr>
          <w:rFonts w:hint="eastAsia" w:asciiTheme="minorEastAsia" w:hAnsiTheme="minorEastAsia" w:eastAsiaTheme="minorEastAsia" w:cstheme="minorEastAsia"/>
          <w:color w:val="auto"/>
          <w:kern w:val="0"/>
          <w:sz w:val="24"/>
          <w:szCs w:val="24"/>
          <w:highlight w:val="none"/>
          <w:lang w:val="en-US" w:eastAsia="zh-CN" w:bidi="ar"/>
        </w:rPr>
        <w:t>为保障成交人全面诚信参与采购项目和合同履约，成交人截止至本竞价公告发布之日起前三年内有下列情形之一的，不得参加本项目竞价，否则视为无效响应：</w:t>
      </w:r>
    </w:p>
    <w:p w14:paraId="3EBC57D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（1）在参与采购人组织的采购项目中，存在相应采购项目出现不予退还竞价保证金情形的；</w:t>
      </w:r>
    </w:p>
    <w:p w14:paraId="439F998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（2）在参与采购人组织的同一个采购项目中，以同一事由或类似事由质疑（含投诉）两次均不成立后仍继续质疑（投诉）的；</w:t>
      </w:r>
    </w:p>
    <w:p w14:paraId="08187EE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14:paraId="004E2902">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723" w:firstLineChars="3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13、</w:t>
      </w:r>
      <w:r>
        <w:rPr>
          <w:rFonts w:hint="eastAsia" w:asciiTheme="minorEastAsia" w:hAnsiTheme="minorEastAsia" w:eastAsiaTheme="minorEastAsia" w:cstheme="minorEastAsia"/>
          <w:color w:val="auto"/>
          <w:kern w:val="0"/>
          <w:sz w:val="24"/>
          <w:szCs w:val="24"/>
          <w:highlight w:val="none"/>
          <w:lang w:val="en-US" w:eastAsia="zh-CN" w:bidi="ar"/>
        </w:rPr>
        <w:t>在本项目竞价过程中，成交人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14:paraId="2A7E39C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（1）存在本竞价过程中不予退还竞价保证金情形的；</w:t>
      </w:r>
    </w:p>
    <w:p w14:paraId="09696582">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（2）存在本竞价过程中以同一事由或类似事由质疑（含投诉）两次均不成立后仍继续质疑（投诉）的；</w:t>
      </w:r>
    </w:p>
    <w:p w14:paraId="2464AB3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（3）存在本竞价过程中因各种违约行为被采购人没收履约保证金，或扣罚违约金或索赔赔偿金总计在10000元或以上的。</w:t>
      </w:r>
    </w:p>
    <w:p w14:paraId="60E1D2A5">
      <w:pPr>
        <w:spacing w:line="400" w:lineRule="exact"/>
        <w:rPr>
          <w:rFonts w:ascii="宋体" w:hAnsi="宋体"/>
          <w:b/>
          <w:color w:val="auto"/>
          <w:sz w:val="24"/>
          <w:szCs w:val="24"/>
          <w:highlight w:val="none"/>
        </w:rPr>
      </w:pPr>
    </w:p>
    <w:p w14:paraId="506636CC">
      <w:pPr>
        <w:spacing w:line="400" w:lineRule="exact"/>
        <w:rPr>
          <w:rFonts w:ascii="宋体" w:hAnsi="宋体"/>
          <w:b/>
          <w:color w:val="auto"/>
          <w:sz w:val="24"/>
          <w:szCs w:val="24"/>
          <w:highlight w:val="none"/>
        </w:rPr>
      </w:pPr>
    </w:p>
    <w:p w14:paraId="51C4EC85">
      <w:pPr>
        <w:spacing w:line="400" w:lineRule="exact"/>
        <w:rPr>
          <w:rFonts w:ascii="宋体" w:hAnsi="宋体"/>
          <w:b/>
          <w:color w:val="auto"/>
          <w:sz w:val="24"/>
          <w:szCs w:val="24"/>
          <w:highlight w:val="none"/>
        </w:rPr>
      </w:pPr>
    </w:p>
    <w:p w14:paraId="32E00E0F">
      <w:pPr>
        <w:rPr>
          <w:rFonts w:hint="eastAsia" w:ascii="宋体" w:hAnsi="宋体" w:eastAsia="宋体" w:cs="宋体"/>
          <w:b/>
          <w:bCs/>
          <w:color w:val="auto"/>
          <w:sz w:val="24"/>
          <w:szCs w:val="24"/>
          <w:highlight w:val="none"/>
          <w:lang w:val="en-US" w:eastAsia="zh-CN"/>
        </w:rPr>
      </w:pPr>
      <w:bookmarkStart w:id="5" w:name="_Toc18219"/>
      <w:bookmarkStart w:id="6" w:name="_Toc209515510"/>
      <w:r>
        <w:rPr>
          <w:rFonts w:hint="eastAsia" w:ascii="宋体" w:hAnsi="宋体" w:eastAsia="宋体" w:cs="宋体"/>
          <w:b/>
          <w:bCs/>
          <w:color w:val="auto"/>
          <w:sz w:val="24"/>
          <w:szCs w:val="24"/>
          <w:highlight w:val="none"/>
          <w:lang w:val="en-US" w:eastAsia="zh-CN"/>
        </w:rPr>
        <w:br w:type="page"/>
      </w:r>
    </w:p>
    <w:p w14:paraId="07A3612D">
      <w:pPr>
        <w:pStyle w:val="3"/>
        <w:pageBreakBefore w:val="0"/>
        <w:numPr>
          <w:ilvl w:val="0"/>
          <w:numId w:val="0"/>
        </w:numPr>
        <w:kinsoku/>
        <w:wordWrap/>
        <w:overflowPunct/>
        <w:topLinePunct w:val="0"/>
        <w:autoSpaceDE/>
        <w:autoSpaceDN/>
        <w:bidi w:val="0"/>
        <w:spacing w:beforeLines="0" w:afterLines="0"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eastAsia="宋体" w:cs="宋体"/>
          <w:b/>
          <w:bCs/>
          <w:color w:val="auto"/>
          <w:sz w:val="24"/>
          <w:szCs w:val="24"/>
          <w:highlight w:val="none"/>
        </w:rPr>
        <w:t>单位保密协议</w:t>
      </w:r>
      <w:bookmarkEnd w:id="5"/>
      <w:bookmarkEnd w:id="6"/>
    </w:p>
    <w:p w14:paraId="1B4E3A8F">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甲方：</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 xml:space="preserve"> </w:t>
      </w:r>
    </w:p>
    <w:p w14:paraId="608FF922">
      <w:pPr>
        <w:widowControl/>
        <w:shd w:val="clear" w:color="auto" w:fill="FFFFFF"/>
        <w:spacing w:line="360" w:lineRule="exact"/>
        <w:ind w:firstLine="480" w:firstLineChars="200"/>
        <w:jc w:val="left"/>
        <w:rPr>
          <w:rFonts w:hint="eastAsia" w:ascii="宋体" w:hAnsi="宋体" w:eastAsia="宋体" w:cs="宋体"/>
          <w:color w:val="auto"/>
          <w:sz w:val="24"/>
          <w:szCs w:val="24"/>
          <w:highlight w:val="none"/>
        </w:rPr>
      </w:pPr>
      <w:r>
        <w:rPr>
          <w:rStyle w:val="23"/>
          <w:rFonts w:hint="eastAsia" w:ascii="宋体" w:hAnsi="宋体" w:cs="宋体"/>
          <w:b w:val="0"/>
          <w:color w:val="auto"/>
          <w:sz w:val="24"/>
          <w:szCs w:val="24"/>
          <w:highlight w:val="none"/>
          <w:lang w:val="en-US" w:eastAsia="zh-CN"/>
        </w:rPr>
        <w:t>乙方</w:t>
      </w:r>
      <w:r>
        <w:rPr>
          <w:rStyle w:val="23"/>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C66404B">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cs="宋体"/>
          <w:b w:val="0"/>
          <w:color w:val="auto"/>
          <w:sz w:val="24"/>
          <w:szCs w:val="24"/>
          <w:highlight w:val="none"/>
          <w:lang w:val="en-US" w:eastAsia="zh-CN"/>
        </w:rPr>
        <w:t>乙方</w:t>
      </w:r>
      <w:r>
        <w:rPr>
          <w:rStyle w:val="23"/>
          <w:rFonts w:hint="eastAsia" w:ascii="宋体" w:hAnsi="宋体" w:eastAsia="宋体" w:cs="宋体"/>
          <w:b w:val="0"/>
          <w:color w:val="auto"/>
          <w:sz w:val="24"/>
          <w:szCs w:val="24"/>
          <w:highlight w:val="none"/>
        </w:rPr>
        <w:t>与甲方进行业务接触时，知晓甲方</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rPr>
        <w:t>的文件、资料、数据、信息及存储信息各类设备、载体均具有高度保密性；甲方工作人员也充分告知</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所参与、知悉的甲方有关工作属于国家秘密的范围，</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依法负有保守国家秘密的义务，不得有任何违反《中华人民共和国保守国家秘密法》等法律法规和甲方关于保密工作规章制度要求的行为。</w:t>
      </w:r>
    </w:p>
    <w:p w14:paraId="2F4055F4">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双方一致同意共同履行如下保密协议：</w:t>
      </w:r>
    </w:p>
    <w:p w14:paraId="763B4176">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1.</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承诺在订立合同过程中知悉、取得甲方相关业务信息、资料（包括但不限于：软件系统，各类书面材料，电子数据，采购数据、工作部署、安排、情况等，下同）后，无论合同是否成立、履行，均不得不正当地使用或以泄露、遗失、告知、公布、发表、传授、转让等方式使任何第三者知悉、取得。</w:t>
      </w:r>
    </w:p>
    <w:p w14:paraId="42794AA7">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2.在</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持有、使用甲方相关资料的法定条件消失后或</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不得持有、使用甲方相关资料的情形出现时，</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应当立即将所有资料交还甲方，不得以恢复、复制、记录、存储等方式继续持有相关资料，甲方应对</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交还资料的工作予以积极督促、配合，提供便利；</w:t>
      </w:r>
    </w:p>
    <w:p w14:paraId="7DFBB440">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3.</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须自觉遵守国家有关保密法律法规和甲方关于保密工作的规章制度；</w:t>
      </w:r>
    </w:p>
    <w:p w14:paraId="2D56C1A8">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4.</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对本公司工作人员所知悉和持有的甲方资料、信息，根据实际情况采取有效的保密防范措施和教育，不留泄密隐患，在保密信息解密之前，知悉和管理信息的</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具体工作人员对涉密信息负有保密责任。</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需为</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有关人员的保密职责和侵权责任等行为负责；</w:t>
      </w:r>
    </w:p>
    <w:p w14:paraId="590DD0D1">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5.</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接触甲方业务工作的人员离岗、离职前，由</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对其实行脱密期保守相关秘密的教育培训，并留存脱密教育的相关工作记录；</w:t>
      </w:r>
    </w:p>
    <w:p w14:paraId="6018CB4E">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Style w:val="23"/>
          <w:rFonts w:hint="eastAsia" w:ascii="宋体" w:hAnsi="宋体" w:eastAsia="宋体" w:cs="宋体"/>
          <w:b w:val="0"/>
          <w:color w:val="auto"/>
          <w:sz w:val="24"/>
          <w:szCs w:val="24"/>
          <w:highlight w:val="none"/>
        </w:rPr>
        <w:t>6.甲、乙双方工作接触终止后，</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应依国家法律规定自觉履行保密义务，甲方应对</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进行必要的保密提示和监督。</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及其工作人员在履行职责中违反上述协议的，甲方有权追究</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及其相关人员承担相应法律责任, 有权解除双方签订的所有合作协议，有权视情要求</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偿付本项目合同金额</w:t>
      </w:r>
      <w:r>
        <w:rPr>
          <w:rStyle w:val="23"/>
          <w:rFonts w:hint="eastAsia" w:ascii="宋体" w:hAnsi="宋体" w:eastAsia="宋体" w:cs="宋体"/>
          <w:b w:val="0"/>
          <w:color w:val="auto"/>
          <w:sz w:val="24"/>
          <w:szCs w:val="24"/>
          <w:highlight w:val="none"/>
          <w:lang w:val="en-US" w:eastAsia="zh-CN"/>
        </w:rPr>
        <w:t>2</w:t>
      </w:r>
      <w:r>
        <w:rPr>
          <w:rStyle w:val="23"/>
          <w:rFonts w:hint="eastAsia" w:ascii="宋体" w:hAnsi="宋体" w:eastAsia="宋体" w:cs="宋体"/>
          <w:b w:val="0"/>
          <w:color w:val="auto"/>
          <w:sz w:val="24"/>
          <w:szCs w:val="24"/>
          <w:highlight w:val="none"/>
        </w:rPr>
        <w:t>0%的违约金，造成甲方损失的，</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还应予以赔偿。</w:t>
      </w:r>
    </w:p>
    <w:p w14:paraId="4B547CA6">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14:paraId="421C66FC">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 xml:space="preserve">甲方（签字并盖章）：                   </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（签字并盖章）：</w:t>
      </w:r>
      <w:r>
        <w:rPr>
          <w:rStyle w:val="23"/>
          <w:rFonts w:hint="eastAsia" w:ascii="宋体" w:hAnsi="宋体" w:eastAsia="宋体" w:cs="宋体"/>
          <w:b w:val="0"/>
          <w:color w:val="auto"/>
          <w:sz w:val="24"/>
          <w:szCs w:val="24"/>
          <w:highlight w:val="none"/>
          <w:u w:val="none" w:color="auto"/>
        </w:rPr>
        <w:t xml:space="preserve">           </w:t>
      </w:r>
    </w:p>
    <w:p w14:paraId="75F8291D">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p>
    <w:p w14:paraId="213444C3">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 xml:space="preserve">        年</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月</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日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年</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月</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日</w:t>
      </w:r>
    </w:p>
    <w:p w14:paraId="377AF511">
      <w:pPr>
        <w:pStyle w:val="3"/>
        <w:pageBreakBefore w:val="0"/>
        <w:numPr>
          <w:ilvl w:val="0"/>
          <w:numId w:val="0"/>
        </w:numPr>
        <w:kinsoku/>
        <w:wordWrap/>
        <w:overflowPunct/>
        <w:topLinePunct w:val="0"/>
        <w:autoSpaceDE/>
        <w:autoSpaceDN/>
        <w:bidi w:val="0"/>
        <w:spacing w:beforeLines="0" w:afterLines="0" w:line="440" w:lineRule="exact"/>
        <w:ind w:leftChars="0"/>
        <w:jc w:val="both"/>
        <w:textAlignment w:val="auto"/>
        <w:rPr>
          <w:rFonts w:hint="eastAsia" w:ascii="宋体" w:hAnsi="宋体" w:eastAsia="宋体" w:cs="宋体"/>
          <w:color w:val="auto"/>
          <w:sz w:val="24"/>
          <w:szCs w:val="24"/>
          <w:highlight w:val="none"/>
        </w:rPr>
      </w:pPr>
      <w:bookmarkStart w:id="7" w:name="_Toc944"/>
      <w:bookmarkStart w:id="8" w:name="_Toc209515511"/>
      <w:r>
        <w:rPr>
          <w:rFonts w:hint="eastAsia" w:ascii="宋体" w:hAnsi="宋体" w:eastAsia="宋体" w:cs="宋体"/>
          <w:color w:val="auto"/>
          <w:sz w:val="24"/>
          <w:szCs w:val="24"/>
          <w:highlight w:val="none"/>
          <w:lang w:val="en-US" w:eastAsia="zh-CN"/>
        </w:rPr>
        <w:t xml:space="preserve">附件2:                              </w:t>
      </w:r>
      <w:r>
        <w:rPr>
          <w:rFonts w:hint="eastAsia" w:ascii="宋体" w:hAnsi="宋体" w:eastAsia="宋体" w:cs="宋体"/>
          <w:color w:val="auto"/>
          <w:sz w:val="24"/>
          <w:szCs w:val="24"/>
          <w:highlight w:val="none"/>
        </w:rPr>
        <w:t>保密承诺书</w:t>
      </w:r>
      <w:bookmarkEnd w:id="7"/>
      <w:bookmarkEnd w:id="8"/>
    </w:p>
    <w:p w14:paraId="3BDD2908">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本人所属或授权代理的公司与</w:t>
      </w:r>
      <w:r>
        <w:rPr>
          <w:rStyle w:val="23"/>
          <w:rFonts w:hint="eastAsia" w:ascii="宋体" w:hAnsi="宋体" w:eastAsia="宋体" w:cs="宋体"/>
          <w:b w:val="0"/>
          <w:color w:val="auto"/>
          <w:sz w:val="24"/>
          <w:szCs w:val="24"/>
          <w:highlight w:val="none"/>
          <w:lang w:val="en-US" w:eastAsia="zh-CN"/>
        </w:rPr>
        <w:t>甲方</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正在履行相关采购合同,在办理合同相关事务中，本人了解有关保密法规制度，知悉应当承担的保密义务和法律责任</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3"/>
          <w:rFonts w:hint="eastAsia" w:ascii="宋体" w:hAnsi="宋体" w:eastAsia="宋体" w:cs="宋体"/>
          <w:b w:val="0"/>
          <w:color w:val="auto"/>
          <w:sz w:val="24"/>
          <w:szCs w:val="24"/>
          <w:highlight w:val="none"/>
        </w:rPr>
        <w:t>本人郑重承诺：</w:t>
      </w:r>
    </w:p>
    <w:p w14:paraId="57BEAACA">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一、认真遵守国家保密法律、法规和</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相关规章制度，履行保密义务；</w:t>
      </w:r>
    </w:p>
    <w:p w14:paraId="51D94818">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二、不提供虚假个人信息，自愿接受保密审查；</w:t>
      </w:r>
    </w:p>
    <w:p w14:paraId="7C720C59">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三、不违规记录、存储、复制国家秘密信息，不违规留存国家秘密载体，不违规将</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工作文件等内部资料泄露出去；</w:t>
      </w:r>
    </w:p>
    <w:p w14:paraId="09118800">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四、不以任何方式泄露所接触和知悉的国家秘密和</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相关信息（包括但不限于工作信息）；</w:t>
      </w:r>
    </w:p>
    <w:p w14:paraId="565E35C5">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五、未经</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审查批准，不擅自发表涉及未公开工作内容的文章、著述；</w:t>
      </w:r>
    </w:p>
    <w:p w14:paraId="7A8575E0">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违反上述承诺，除了我所属或代理的公司按合同约定承担相关责任外，我自愿承担有关法律后果，自愿向</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支付本人违反上述保密承诺的违约金</w:t>
      </w:r>
      <w:r>
        <w:rPr>
          <w:rStyle w:val="23"/>
          <w:rFonts w:hint="eastAsia" w:ascii="宋体" w:hAnsi="宋体" w:eastAsia="宋体" w:cs="宋体"/>
          <w:b w:val="0"/>
          <w:color w:val="auto"/>
          <w:sz w:val="24"/>
          <w:szCs w:val="24"/>
          <w:highlight w:val="none"/>
          <w:lang w:val="en-US" w:eastAsia="zh-CN"/>
        </w:rPr>
        <w:t>2</w:t>
      </w:r>
      <w:r>
        <w:rPr>
          <w:rStyle w:val="23"/>
          <w:rFonts w:hint="eastAsia" w:ascii="宋体" w:hAnsi="宋体" w:eastAsia="宋体" w:cs="宋体"/>
          <w:b w:val="0"/>
          <w:color w:val="auto"/>
          <w:sz w:val="24"/>
          <w:szCs w:val="24"/>
          <w:highlight w:val="none"/>
        </w:rPr>
        <w:t>0000元。</w:t>
      </w:r>
    </w:p>
    <w:p w14:paraId="2FF462C9">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p>
    <w:p w14:paraId="29855656">
      <w:pPr>
        <w:pageBreakBefore w:val="0"/>
        <w:kinsoku/>
        <w:wordWrap/>
        <w:overflowPunct/>
        <w:topLinePunct w:val="0"/>
        <w:autoSpaceDE/>
        <w:autoSpaceDN/>
        <w:bidi w:val="0"/>
        <w:spacing w:line="440" w:lineRule="exact"/>
        <w:ind w:firstLine="4560" w:firstLineChars="1900"/>
        <w:textAlignment w:val="auto"/>
        <w:rPr>
          <w:rStyle w:val="23"/>
          <w:rFonts w:hint="eastAsia" w:ascii="宋体" w:hAnsi="宋体" w:eastAsia="宋体" w:cs="宋体"/>
          <w:b w:val="0"/>
          <w:color w:val="auto"/>
          <w:sz w:val="24"/>
          <w:szCs w:val="24"/>
          <w:highlight w:val="none"/>
          <w:u w:val="single"/>
          <w:lang w:val="en-US" w:eastAsia="zh-CN"/>
        </w:rPr>
      </w:pPr>
      <w:r>
        <w:rPr>
          <w:rStyle w:val="23"/>
          <w:rFonts w:hint="eastAsia" w:ascii="宋体" w:hAnsi="宋体" w:eastAsia="宋体" w:cs="宋体"/>
          <w:b w:val="0"/>
          <w:color w:val="auto"/>
          <w:sz w:val="24"/>
          <w:szCs w:val="24"/>
          <w:highlight w:val="none"/>
        </w:rPr>
        <w:t>承诺人签名：</w:t>
      </w:r>
    </w:p>
    <w:p w14:paraId="17FDECEF">
      <w:pPr>
        <w:rPr>
          <w:color w:val="auto"/>
          <w:highlight w:val="none"/>
        </w:rPr>
      </w:pP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年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月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日</w:t>
      </w:r>
    </w:p>
    <w:p w14:paraId="3AE3AF2F">
      <w:pPr>
        <w:widowControl/>
        <w:spacing w:line="360" w:lineRule="exact"/>
        <w:jc w:val="left"/>
        <w:rPr>
          <w:rFonts w:hint="default" w:ascii="宋体" w:hAnsi="宋体"/>
          <w:color w:val="auto"/>
          <w:sz w:val="24"/>
          <w:szCs w:val="24"/>
          <w:highlight w:val="none"/>
          <w:lang w:val="en-US" w:eastAsia="zh-CN"/>
        </w:rPr>
      </w:pPr>
    </w:p>
    <w:p w14:paraId="27FFE952">
      <w:pPr>
        <w:pStyle w:val="29"/>
        <w:spacing w:line="360" w:lineRule="auto"/>
        <w:jc w:val="both"/>
        <w:outlineLvl w:val="1"/>
        <w:rPr>
          <w:rFonts w:hint="default" w:ascii="宋体" w:hAnsi="宋体" w:eastAsia="宋体" w:cs="宋体"/>
          <w:b/>
          <w:bCs w:val="0"/>
          <w:color w:val="auto"/>
          <w:sz w:val="24"/>
          <w:szCs w:val="24"/>
          <w:highlight w:val="none"/>
          <w:lang w:val="en-US" w:eastAsia="zh-CN"/>
        </w:rPr>
      </w:pPr>
    </w:p>
    <w:p w14:paraId="1E8DA86B">
      <w:pPr>
        <w:pStyle w:val="29"/>
        <w:spacing w:line="360" w:lineRule="auto"/>
        <w:jc w:val="both"/>
        <w:outlineLvl w:val="1"/>
        <w:rPr>
          <w:rFonts w:hint="default" w:ascii="宋体" w:hAnsi="宋体" w:cs="宋体"/>
          <w:b/>
          <w:bCs w:val="0"/>
          <w:color w:val="auto"/>
          <w:sz w:val="24"/>
          <w:szCs w:val="24"/>
          <w:highlight w:val="none"/>
        </w:rPr>
      </w:pPr>
    </w:p>
    <w:p w14:paraId="6CCD396E">
      <w:pPr>
        <w:pStyle w:val="29"/>
        <w:spacing w:line="360" w:lineRule="auto"/>
        <w:jc w:val="both"/>
        <w:outlineLvl w:val="1"/>
        <w:rPr>
          <w:rFonts w:hint="default" w:ascii="宋体" w:hAnsi="宋体" w:cs="宋体"/>
          <w:b/>
          <w:bCs w:val="0"/>
          <w:color w:val="auto"/>
          <w:sz w:val="24"/>
          <w:szCs w:val="24"/>
          <w:highlight w:val="none"/>
        </w:rPr>
      </w:pPr>
    </w:p>
    <w:p w14:paraId="0A5CBD0B">
      <w:pPr>
        <w:pStyle w:val="29"/>
        <w:spacing w:line="360" w:lineRule="auto"/>
        <w:jc w:val="both"/>
        <w:outlineLvl w:val="1"/>
        <w:rPr>
          <w:rFonts w:hint="default" w:ascii="宋体" w:hAnsi="宋体" w:cs="宋体"/>
          <w:b/>
          <w:bCs w:val="0"/>
          <w:color w:val="auto"/>
          <w:sz w:val="24"/>
          <w:szCs w:val="24"/>
          <w:highlight w:val="none"/>
        </w:rPr>
      </w:pPr>
    </w:p>
    <w:p w14:paraId="032B2CC9">
      <w:pPr>
        <w:rPr>
          <w:rFonts w:ascii="宋体" w:hAnsi="宋体" w:cs="宋体"/>
          <w:b/>
          <w:color w:val="auto"/>
          <w:sz w:val="28"/>
          <w:szCs w:val="28"/>
          <w:highlight w:val="none"/>
        </w:rPr>
      </w:pPr>
      <w:r>
        <w:rPr>
          <w:rFonts w:ascii="宋体" w:hAnsi="宋体" w:cs="宋体"/>
          <w:b/>
          <w:color w:val="auto"/>
          <w:sz w:val="28"/>
          <w:szCs w:val="28"/>
          <w:highlight w:val="none"/>
        </w:rPr>
        <w:br w:type="page"/>
      </w:r>
    </w:p>
    <w:bookmarkEnd w:id="1"/>
    <w:bookmarkEnd w:id="2"/>
    <w:bookmarkEnd w:id="3"/>
    <w:bookmarkEnd w:id="4"/>
    <w:p w14:paraId="72E92599">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14:paraId="103D1683">
      <w:pPr>
        <w:pStyle w:val="18"/>
        <w:ind w:firstLine="0" w:firstLineChars="0"/>
        <w:rPr>
          <w:rFonts w:ascii="宋体" w:hAnsi="宋体" w:cs="宋体"/>
          <w:color w:val="auto"/>
          <w:highlight w:val="none"/>
        </w:rPr>
      </w:pPr>
    </w:p>
    <w:p w14:paraId="782131D9">
      <w:pPr>
        <w:pStyle w:val="19"/>
        <w:rPr>
          <w:rFonts w:ascii="宋体" w:hAnsi="宋体" w:cs="宋体"/>
          <w:color w:val="auto"/>
          <w:highlight w:val="none"/>
        </w:rPr>
      </w:pPr>
    </w:p>
    <w:p w14:paraId="1415EACB">
      <w:pPr>
        <w:pStyle w:val="19"/>
        <w:jc w:val="center"/>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福建省闽西监狱网络改造项目</w:t>
      </w:r>
    </w:p>
    <w:p w14:paraId="45B69CB7">
      <w:pPr>
        <w:pStyle w:val="19"/>
        <w:jc w:val="center"/>
        <w:rPr>
          <w:rFonts w:ascii="宋体" w:hAnsi="宋体" w:cs="宋体"/>
          <w:color w:val="auto"/>
          <w:sz w:val="30"/>
          <w:szCs w:val="30"/>
          <w:highlight w:val="none"/>
        </w:rPr>
      </w:pPr>
      <w:r>
        <w:rPr>
          <w:rFonts w:hint="eastAsia" w:ascii="宋体" w:hAnsi="宋体" w:cs="宋体"/>
          <w:b/>
          <w:bCs/>
          <w:color w:val="auto"/>
          <w:sz w:val="30"/>
          <w:szCs w:val="30"/>
          <w:highlight w:val="none"/>
        </w:rPr>
        <w:t>采购合同</w:t>
      </w:r>
    </w:p>
    <w:p w14:paraId="4BAD46FE">
      <w:pPr>
        <w:spacing w:line="360" w:lineRule="auto"/>
        <w:ind w:firstLine="4803" w:firstLineChars="1495"/>
        <w:rPr>
          <w:rFonts w:ascii="宋体" w:hAnsi="宋体" w:cs="宋体"/>
          <w:b/>
          <w:color w:val="auto"/>
          <w:sz w:val="32"/>
          <w:szCs w:val="32"/>
          <w:highlight w:val="none"/>
        </w:rPr>
      </w:pPr>
    </w:p>
    <w:tbl>
      <w:tblPr>
        <w:tblStyle w:val="20"/>
        <w:tblW w:w="8858" w:type="dxa"/>
        <w:tblInd w:w="3" w:type="dxa"/>
        <w:tblLayout w:type="fixed"/>
        <w:tblCellMar>
          <w:top w:w="0" w:type="dxa"/>
          <w:left w:w="108" w:type="dxa"/>
          <w:bottom w:w="0" w:type="dxa"/>
          <w:right w:w="108" w:type="dxa"/>
        </w:tblCellMar>
      </w:tblPr>
      <w:tblGrid>
        <w:gridCol w:w="1476"/>
        <w:gridCol w:w="2426"/>
        <w:gridCol w:w="1370"/>
        <w:gridCol w:w="3586"/>
      </w:tblGrid>
      <w:tr w14:paraId="662C43DC">
        <w:tblPrEx>
          <w:tblCellMar>
            <w:top w:w="0" w:type="dxa"/>
            <w:left w:w="108" w:type="dxa"/>
            <w:bottom w:w="0" w:type="dxa"/>
            <w:right w:w="108" w:type="dxa"/>
          </w:tblCellMar>
        </w:tblPrEx>
        <w:trPr>
          <w:trHeight w:val="805" w:hRule="atLeast"/>
        </w:trPr>
        <w:tc>
          <w:tcPr>
            <w:tcW w:w="1476" w:type="dxa"/>
            <w:vAlign w:val="center"/>
          </w:tcPr>
          <w:p w14:paraId="371929BB">
            <w:pPr>
              <w:spacing w:line="360" w:lineRule="auto"/>
              <w:rPr>
                <w:rFonts w:ascii="宋体" w:hAnsi="宋体" w:cs="宋体"/>
                <w:color w:val="auto"/>
                <w:sz w:val="24"/>
                <w:highlight w:val="none"/>
              </w:rPr>
            </w:pPr>
            <w:r>
              <w:rPr>
                <w:rFonts w:hint="eastAsia" w:ascii="宋体" w:hAnsi="宋体" w:cs="宋体"/>
                <w:color w:val="auto"/>
                <w:sz w:val="24"/>
                <w:highlight w:val="none"/>
              </w:rPr>
              <w:t>甲     方：</w:t>
            </w:r>
          </w:p>
          <w:p w14:paraId="63D7CB27">
            <w:pPr>
              <w:spacing w:line="360" w:lineRule="auto"/>
              <w:rPr>
                <w:rFonts w:ascii="宋体" w:hAnsi="宋体" w:cs="宋体"/>
                <w:color w:val="auto"/>
                <w:sz w:val="24"/>
                <w:highlight w:val="none"/>
              </w:rPr>
            </w:pPr>
          </w:p>
        </w:tc>
        <w:tc>
          <w:tcPr>
            <w:tcW w:w="2426" w:type="dxa"/>
          </w:tcPr>
          <w:p w14:paraId="078A8D5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福建省闽西监狱</w:t>
            </w:r>
          </w:p>
        </w:tc>
        <w:tc>
          <w:tcPr>
            <w:tcW w:w="1370" w:type="dxa"/>
            <w:vAlign w:val="center"/>
          </w:tcPr>
          <w:p w14:paraId="7A2E232E">
            <w:pPr>
              <w:spacing w:line="360" w:lineRule="auto"/>
              <w:rPr>
                <w:rFonts w:ascii="宋体" w:hAnsi="宋体" w:cs="宋体"/>
                <w:color w:val="auto"/>
                <w:sz w:val="24"/>
                <w:highlight w:val="none"/>
              </w:rPr>
            </w:pPr>
            <w:r>
              <w:rPr>
                <w:rFonts w:hint="eastAsia" w:ascii="宋体" w:hAnsi="宋体" w:cs="宋体"/>
                <w:color w:val="auto"/>
                <w:sz w:val="24"/>
                <w:highlight w:val="none"/>
              </w:rPr>
              <w:t>乙    方：</w:t>
            </w:r>
          </w:p>
          <w:p w14:paraId="7E450F56">
            <w:pPr>
              <w:spacing w:line="360" w:lineRule="auto"/>
              <w:rPr>
                <w:rFonts w:ascii="宋体" w:hAnsi="宋体" w:cs="宋体"/>
                <w:color w:val="auto"/>
                <w:sz w:val="24"/>
                <w:highlight w:val="none"/>
              </w:rPr>
            </w:pPr>
          </w:p>
        </w:tc>
        <w:tc>
          <w:tcPr>
            <w:tcW w:w="3586" w:type="dxa"/>
            <w:vAlign w:val="center"/>
          </w:tcPr>
          <w:p w14:paraId="685A980E">
            <w:pPr>
              <w:spacing w:line="360" w:lineRule="auto"/>
              <w:rPr>
                <w:rFonts w:ascii="宋体" w:hAnsi="宋体" w:cs="宋体"/>
                <w:color w:val="auto"/>
                <w:sz w:val="24"/>
                <w:highlight w:val="none"/>
              </w:rPr>
            </w:pPr>
          </w:p>
        </w:tc>
      </w:tr>
      <w:tr w14:paraId="56CAFAEA">
        <w:tblPrEx>
          <w:tblCellMar>
            <w:top w:w="0" w:type="dxa"/>
            <w:left w:w="108" w:type="dxa"/>
            <w:bottom w:w="0" w:type="dxa"/>
            <w:right w:w="108" w:type="dxa"/>
          </w:tblCellMar>
        </w:tblPrEx>
        <w:trPr>
          <w:trHeight w:val="805" w:hRule="atLeast"/>
        </w:trPr>
        <w:tc>
          <w:tcPr>
            <w:tcW w:w="1476" w:type="dxa"/>
          </w:tcPr>
          <w:p w14:paraId="0AC00C5C">
            <w:pPr>
              <w:spacing w:line="360" w:lineRule="auto"/>
              <w:rPr>
                <w:rFonts w:ascii="宋体" w:hAnsi="宋体" w:cs="宋体"/>
                <w:color w:val="auto"/>
                <w:sz w:val="24"/>
                <w:highlight w:val="none"/>
              </w:rPr>
            </w:pPr>
            <w:r>
              <w:rPr>
                <w:rFonts w:hint="eastAsia" w:ascii="宋体" w:hAnsi="宋体" w:cs="宋体"/>
                <w:color w:val="auto"/>
                <w:sz w:val="24"/>
                <w:highlight w:val="none"/>
              </w:rPr>
              <w:t>甲方地址：</w:t>
            </w:r>
          </w:p>
        </w:tc>
        <w:tc>
          <w:tcPr>
            <w:tcW w:w="2426" w:type="dxa"/>
          </w:tcPr>
          <w:p w14:paraId="1D5FFE1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福建省龙岩市新罗区凤凰北路2号</w:t>
            </w:r>
          </w:p>
        </w:tc>
        <w:tc>
          <w:tcPr>
            <w:tcW w:w="1370" w:type="dxa"/>
          </w:tcPr>
          <w:p w14:paraId="6D3DB70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乙方地址：</w:t>
            </w:r>
          </w:p>
        </w:tc>
        <w:tc>
          <w:tcPr>
            <w:tcW w:w="3586" w:type="dxa"/>
            <w:vAlign w:val="center"/>
          </w:tcPr>
          <w:p w14:paraId="5A419DC3">
            <w:pPr>
              <w:spacing w:line="360" w:lineRule="auto"/>
              <w:rPr>
                <w:rFonts w:ascii="宋体" w:hAnsi="宋体" w:cs="宋体"/>
                <w:color w:val="auto"/>
                <w:sz w:val="24"/>
                <w:highlight w:val="none"/>
              </w:rPr>
            </w:pPr>
          </w:p>
        </w:tc>
      </w:tr>
    </w:tbl>
    <w:p w14:paraId="002847B5">
      <w:pPr>
        <w:spacing w:line="360" w:lineRule="auto"/>
        <w:rPr>
          <w:rFonts w:ascii="宋体" w:hAnsi="宋体" w:cs="宋体"/>
          <w:color w:val="auto"/>
          <w:sz w:val="24"/>
          <w:highlight w:val="none"/>
        </w:rPr>
      </w:pPr>
    </w:p>
    <w:p w14:paraId="2CAFA612">
      <w:pPr>
        <w:spacing w:line="360" w:lineRule="auto"/>
        <w:rPr>
          <w:rFonts w:ascii="宋体" w:hAnsi="宋体" w:cs="宋体"/>
          <w:color w:val="auto"/>
          <w:sz w:val="24"/>
          <w:highlight w:val="non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A265C6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eastAsia="zh-CN"/>
        </w:rPr>
        <w:t>福建省闽西监狱</w:t>
      </w:r>
    </w:p>
    <w:p w14:paraId="73AD8055">
      <w:pPr>
        <w:spacing w:line="360" w:lineRule="auto"/>
        <w:rPr>
          <w:rFonts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年   月    日</w:t>
      </w:r>
    </w:p>
    <w:p w14:paraId="648782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甲方委托龙岩市鑫达工程管理有限公司对</w:t>
      </w:r>
      <w:r>
        <w:rPr>
          <w:rFonts w:hint="eastAsia" w:ascii="宋体" w:hAnsi="宋体" w:cs="宋体"/>
          <w:color w:val="auto"/>
          <w:sz w:val="24"/>
          <w:highlight w:val="none"/>
          <w:lang w:eastAsia="zh-CN"/>
        </w:rPr>
        <w:t>福建省闽西监狱网络改造项目</w:t>
      </w:r>
      <w:r>
        <w:rPr>
          <w:rFonts w:hint="eastAsia" w:ascii="宋体" w:hAnsi="宋体" w:cs="宋体"/>
          <w:color w:val="auto"/>
          <w:sz w:val="24"/>
          <w:highlight w:val="none"/>
        </w:rPr>
        <w:t>进行网上竞价采购。根据竞价结果，乙方为</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，现依照</w:t>
      </w: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文件、响应文件的内容，双方达成如下协议：</w:t>
      </w:r>
    </w:p>
    <w:p w14:paraId="3D6FD9C8">
      <w:pPr>
        <w:spacing w:line="360" w:lineRule="auto"/>
        <w:rPr>
          <w:rFonts w:hint="eastAsia" w:ascii="宋体" w:hAnsi="宋体" w:cs="宋体"/>
          <w:b/>
          <w:bCs/>
          <w:color w:val="auto"/>
          <w:kern w:val="2"/>
          <w:sz w:val="24"/>
          <w:szCs w:val="24"/>
          <w:highlight w:val="none"/>
          <w:lang w:val="en-US" w:eastAsia="zh-CN" w:bidi="ar-SA"/>
        </w:rPr>
      </w:pPr>
      <w:r>
        <w:rPr>
          <w:rFonts w:hint="eastAsia" w:ascii="宋体" w:hAnsi="宋体" w:cs="宋体"/>
          <w:b/>
          <w:color w:val="auto"/>
          <w:sz w:val="24"/>
          <w:highlight w:val="none"/>
        </w:rPr>
        <w:t>一、项目概况</w:t>
      </w:r>
    </w:p>
    <w:tbl>
      <w:tblPr>
        <w:tblStyle w:val="20"/>
        <w:tblW w:w="10935" w:type="dxa"/>
        <w:tblInd w:w="-539" w:type="dxa"/>
        <w:tblLayout w:type="fixed"/>
        <w:tblCellMar>
          <w:top w:w="0" w:type="dxa"/>
          <w:left w:w="108" w:type="dxa"/>
          <w:bottom w:w="0" w:type="dxa"/>
          <w:right w:w="108" w:type="dxa"/>
        </w:tblCellMar>
      </w:tblPr>
      <w:tblGrid>
        <w:gridCol w:w="800"/>
        <w:gridCol w:w="3237"/>
        <w:gridCol w:w="988"/>
        <w:gridCol w:w="2027"/>
        <w:gridCol w:w="732"/>
        <w:gridCol w:w="749"/>
        <w:gridCol w:w="596"/>
        <w:gridCol w:w="937"/>
        <w:gridCol w:w="869"/>
      </w:tblGrid>
      <w:tr w14:paraId="5892DAEF">
        <w:tblPrEx>
          <w:tblCellMar>
            <w:top w:w="0" w:type="dxa"/>
            <w:left w:w="108" w:type="dxa"/>
            <w:bottom w:w="0" w:type="dxa"/>
            <w:right w:w="108" w:type="dxa"/>
          </w:tblCellMar>
        </w:tblPrEx>
        <w:trPr>
          <w:trHeight w:val="558" w:hRule="atLeast"/>
        </w:trPr>
        <w:tc>
          <w:tcPr>
            <w:tcW w:w="800" w:type="dxa"/>
            <w:tcBorders>
              <w:top w:val="single" w:color="auto" w:sz="4" w:space="0"/>
              <w:left w:val="single" w:color="000000" w:sz="4" w:space="0"/>
              <w:bottom w:val="single" w:color="000000" w:sz="4" w:space="0"/>
              <w:right w:val="single" w:color="auto" w:sz="4" w:space="0"/>
            </w:tcBorders>
            <w:vAlign w:val="center"/>
          </w:tcPr>
          <w:p w14:paraId="4A0344D2">
            <w:pPr>
              <w:widowControl/>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合同包号</w:t>
            </w:r>
          </w:p>
        </w:tc>
        <w:tc>
          <w:tcPr>
            <w:tcW w:w="3237" w:type="dxa"/>
            <w:tcBorders>
              <w:top w:val="single" w:color="auto" w:sz="4" w:space="0"/>
              <w:left w:val="single" w:color="auto" w:sz="4" w:space="0"/>
              <w:bottom w:val="single" w:color="000000" w:sz="4" w:space="0"/>
              <w:right w:val="single" w:color="000000" w:sz="4" w:space="0"/>
            </w:tcBorders>
            <w:vAlign w:val="center"/>
          </w:tcPr>
          <w:p w14:paraId="19D71BAC">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988" w:type="dxa"/>
            <w:tcBorders>
              <w:top w:val="single" w:color="auto" w:sz="4" w:space="0"/>
              <w:left w:val="single" w:color="auto" w:sz="4" w:space="0"/>
              <w:bottom w:val="single" w:color="000000" w:sz="4" w:space="0"/>
              <w:right w:val="single" w:color="000000" w:sz="4" w:space="0"/>
            </w:tcBorders>
            <w:vAlign w:val="center"/>
          </w:tcPr>
          <w:p w14:paraId="45E04604">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品目号</w:t>
            </w:r>
          </w:p>
        </w:tc>
        <w:tc>
          <w:tcPr>
            <w:tcW w:w="2027" w:type="dxa"/>
            <w:tcBorders>
              <w:top w:val="single" w:color="auto" w:sz="4" w:space="0"/>
              <w:left w:val="single" w:color="000000" w:sz="4" w:space="0"/>
              <w:bottom w:val="single" w:color="000000" w:sz="4" w:space="0"/>
              <w:right w:val="single" w:color="auto" w:sz="4" w:space="0"/>
            </w:tcBorders>
            <w:vAlign w:val="center"/>
          </w:tcPr>
          <w:p w14:paraId="6B1F6BAF">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货物名称</w:t>
            </w:r>
          </w:p>
        </w:tc>
        <w:tc>
          <w:tcPr>
            <w:tcW w:w="732" w:type="dxa"/>
            <w:tcBorders>
              <w:top w:val="single" w:color="auto" w:sz="4" w:space="0"/>
              <w:left w:val="single" w:color="000000" w:sz="4" w:space="0"/>
              <w:bottom w:val="single" w:color="000000" w:sz="4" w:space="0"/>
              <w:right w:val="single" w:color="000000" w:sz="4" w:space="0"/>
            </w:tcBorders>
            <w:vAlign w:val="center"/>
          </w:tcPr>
          <w:p w14:paraId="579C812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749" w:type="dxa"/>
            <w:tcBorders>
              <w:top w:val="single" w:color="auto" w:sz="4" w:space="0"/>
              <w:left w:val="single" w:color="000000" w:sz="4" w:space="0"/>
              <w:bottom w:val="single" w:color="000000" w:sz="4" w:space="0"/>
              <w:right w:val="single" w:color="000000" w:sz="4" w:space="0"/>
            </w:tcBorders>
            <w:vAlign w:val="center"/>
          </w:tcPr>
          <w:p w14:paraId="2F7669A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596" w:type="dxa"/>
            <w:tcBorders>
              <w:top w:val="single" w:color="auto" w:sz="4" w:space="0"/>
              <w:left w:val="single" w:color="000000" w:sz="4" w:space="0"/>
              <w:bottom w:val="single" w:color="000000" w:sz="4" w:space="0"/>
              <w:right w:val="single" w:color="000000" w:sz="4" w:space="0"/>
            </w:tcBorders>
            <w:vAlign w:val="center"/>
          </w:tcPr>
          <w:p w14:paraId="3A8FEDA1">
            <w:pPr>
              <w:pStyle w:val="2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bidi="ar-SA"/>
              </w:rPr>
              <w:t>品牌</w:t>
            </w:r>
          </w:p>
        </w:tc>
        <w:tc>
          <w:tcPr>
            <w:tcW w:w="937" w:type="dxa"/>
            <w:tcBorders>
              <w:top w:val="single" w:color="auto" w:sz="4" w:space="0"/>
              <w:left w:val="single" w:color="000000" w:sz="4" w:space="0"/>
              <w:bottom w:val="single" w:color="000000" w:sz="4" w:space="0"/>
              <w:right w:val="single" w:color="000000" w:sz="4" w:space="0"/>
            </w:tcBorders>
            <w:vAlign w:val="center"/>
          </w:tcPr>
          <w:p w14:paraId="4C98EAA9">
            <w:pPr>
              <w:pStyle w:val="2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SA"/>
              </w:rPr>
              <w:t>规格/型号</w:t>
            </w:r>
          </w:p>
        </w:tc>
        <w:tc>
          <w:tcPr>
            <w:tcW w:w="869" w:type="dxa"/>
            <w:tcBorders>
              <w:top w:val="single" w:color="auto" w:sz="4" w:space="0"/>
              <w:left w:val="single" w:color="000000" w:sz="4" w:space="0"/>
              <w:bottom w:val="single" w:color="000000" w:sz="4" w:space="0"/>
              <w:right w:val="single" w:color="000000" w:sz="4" w:space="0"/>
            </w:tcBorders>
            <w:vAlign w:val="center"/>
          </w:tcPr>
          <w:p w14:paraId="0162D7B0">
            <w:pPr>
              <w:pStyle w:val="2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宋体" w:hAnsi="宋体" w:cs="宋体"/>
                <w:bCs/>
                <w:color w:val="auto"/>
                <w:kern w:val="2"/>
                <w:sz w:val="24"/>
                <w:szCs w:val="24"/>
                <w:highlight w:val="none"/>
                <w:lang w:val="en-US" w:eastAsia="zh-CN" w:bidi="ar-SA"/>
              </w:rPr>
              <w:t>备注</w:t>
            </w:r>
          </w:p>
        </w:tc>
      </w:tr>
      <w:tr w14:paraId="212D40F9">
        <w:tblPrEx>
          <w:tblCellMar>
            <w:top w:w="0" w:type="dxa"/>
            <w:left w:w="108" w:type="dxa"/>
            <w:bottom w:w="0" w:type="dxa"/>
            <w:right w:w="108" w:type="dxa"/>
          </w:tblCellMar>
        </w:tblPrEx>
        <w:trPr>
          <w:trHeight w:val="390" w:hRule="atLeast"/>
        </w:trPr>
        <w:tc>
          <w:tcPr>
            <w:tcW w:w="800" w:type="dxa"/>
            <w:vMerge w:val="restart"/>
            <w:tcBorders>
              <w:top w:val="single" w:color="000000" w:sz="4" w:space="0"/>
              <w:left w:val="single" w:color="000000" w:sz="4" w:space="0"/>
              <w:right w:val="single" w:color="auto" w:sz="4" w:space="0"/>
            </w:tcBorders>
            <w:vAlign w:val="center"/>
          </w:tcPr>
          <w:p w14:paraId="6F05EEF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3237" w:type="dxa"/>
            <w:tcBorders>
              <w:top w:val="single" w:color="000000" w:sz="4" w:space="0"/>
              <w:left w:val="single" w:color="auto" w:sz="4" w:space="0"/>
              <w:bottom w:val="single" w:color="000000" w:sz="4" w:space="0"/>
              <w:right w:val="single" w:color="000000" w:sz="4" w:space="0"/>
            </w:tcBorders>
            <w:vAlign w:val="center"/>
          </w:tcPr>
          <w:p w14:paraId="6DD4D98B">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A02010202交换设备</w:t>
            </w:r>
          </w:p>
        </w:tc>
        <w:tc>
          <w:tcPr>
            <w:tcW w:w="988" w:type="dxa"/>
            <w:tcBorders>
              <w:top w:val="single" w:color="000000" w:sz="4" w:space="0"/>
              <w:left w:val="single" w:color="auto" w:sz="4" w:space="0"/>
              <w:bottom w:val="single" w:color="000000" w:sz="4" w:space="0"/>
              <w:right w:val="single" w:color="000000" w:sz="4" w:space="0"/>
            </w:tcBorders>
            <w:vAlign w:val="center"/>
          </w:tcPr>
          <w:p w14:paraId="6B1134CE">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2027" w:type="dxa"/>
            <w:tcBorders>
              <w:top w:val="single" w:color="000000" w:sz="4" w:space="0"/>
              <w:left w:val="single" w:color="000000" w:sz="4" w:space="0"/>
              <w:bottom w:val="single" w:color="000000" w:sz="4" w:space="0"/>
              <w:right w:val="single" w:color="auto" w:sz="4" w:space="0"/>
            </w:tcBorders>
            <w:vAlign w:val="center"/>
          </w:tcPr>
          <w:p w14:paraId="1D8E9B8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核心交换机</w:t>
            </w:r>
          </w:p>
        </w:tc>
        <w:tc>
          <w:tcPr>
            <w:tcW w:w="732" w:type="dxa"/>
            <w:tcBorders>
              <w:top w:val="single" w:color="000000" w:sz="4" w:space="0"/>
              <w:left w:val="single" w:color="000000" w:sz="4" w:space="0"/>
              <w:bottom w:val="single" w:color="000000" w:sz="4" w:space="0"/>
              <w:right w:val="single" w:color="000000" w:sz="4" w:space="0"/>
            </w:tcBorders>
            <w:vAlign w:val="center"/>
          </w:tcPr>
          <w:p w14:paraId="68F2D76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749" w:type="dxa"/>
            <w:tcBorders>
              <w:top w:val="single" w:color="000000" w:sz="4" w:space="0"/>
              <w:left w:val="single" w:color="000000" w:sz="4" w:space="0"/>
              <w:bottom w:val="single" w:color="000000" w:sz="4" w:space="0"/>
              <w:right w:val="single" w:color="000000" w:sz="4" w:space="0"/>
            </w:tcBorders>
            <w:vAlign w:val="center"/>
          </w:tcPr>
          <w:p w14:paraId="5CF47600">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vAlign w:val="center"/>
          </w:tcPr>
          <w:p w14:paraId="031BC15A">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0B0E7E49">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C13984D">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3CC2C061">
        <w:tblPrEx>
          <w:tblCellMar>
            <w:top w:w="0" w:type="dxa"/>
            <w:left w:w="108" w:type="dxa"/>
            <w:bottom w:w="0" w:type="dxa"/>
            <w:right w:w="108" w:type="dxa"/>
          </w:tblCellMar>
        </w:tblPrEx>
        <w:trPr>
          <w:trHeight w:val="454" w:hRule="atLeast"/>
        </w:trPr>
        <w:tc>
          <w:tcPr>
            <w:tcW w:w="800" w:type="dxa"/>
            <w:vMerge w:val="continue"/>
            <w:tcBorders>
              <w:left w:val="single" w:color="000000" w:sz="4" w:space="0"/>
              <w:right w:val="single" w:color="auto" w:sz="4" w:space="0"/>
            </w:tcBorders>
            <w:vAlign w:val="center"/>
          </w:tcPr>
          <w:p w14:paraId="0E364ACE">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3237" w:type="dxa"/>
            <w:tcBorders>
              <w:top w:val="single" w:color="000000" w:sz="4" w:space="0"/>
              <w:left w:val="single" w:color="auto" w:sz="4" w:space="0"/>
              <w:bottom w:val="single" w:color="000000" w:sz="4" w:space="0"/>
              <w:right w:val="single" w:color="000000" w:sz="4" w:space="0"/>
            </w:tcBorders>
            <w:vAlign w:val="center"/>
          </w:tcPr>
          <w:p w14:paraId="10AFB013">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A02010303</w:t>
            </w:r>
            <w:r>
              <w:rPr>
                <w:rFonts w:hint="eastAsia" w:asciiTheme="minorEastAsia" w:hAnsiTheme="minorEastAsia" w:eastAsiaTheme="minorEastAsia" w:cstheme="minorEastAsia"/>
                <w:color w:val="auto"/>
                <w:sz w:val="24"/>
                <w:szCs w:val="24"/>
                <w:highlight w:val="none"/>
              </w:rPr>
              <w:t>入侵防御设备</w:t>
            </w:r>
          </w:p>
        </w:tc>
        <w:tc>
          <w:tcPr>
            <w:tcW w:w="988" w:type="dxa"/>
            <w:tcBorders>
              <w:top w:val="single" w:color="000000" w:sz="4" w:space="0"/>
              <w:left w:val="single" w:color="auto" w:sz="4" w:space="0"/>
              <w:bottom w:val="single" w:color="000000" w:sz="4" w:space="0"/>
              <w:right w:val="single" w:color="000000" w:sz="4" w:space="0"/>
            </w:tcBorders>
            <w:vAlign w:val="center"/>
          </w:tcPr>
          <w:p w14:paraId="5547FEB5">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2027" w:type="dxa"/>
            <w:tcBorders>
              <w:top w:val="single" w:color="000000" w:sz="4" w:space="0"/>
              <w:left w:val="single" w:color="000000" w:sz="4" w:space="0"/>
              <w:bottom w:val="single" w:color="000000" w:sz="4" w:space="0"/>
              <w:right w:val="single" w:color="auto" w:sz="4" w:space="0"/>
            </w:tcBorders>
            <w:vAlign w:val="center"/>
          </w:tcPr>
          <w:p w14:paraId="77D2F46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入侵防御系统</w:t>
            </w:r>
          </w:p>
        </w:tc>
        <w:tc>
          <w:tcPr>
            <w:tcW w:w="732" w:type="dxa"/>
            <w:tcBorders>
              <w:top w:val="single" w:color="000000" w:sz="4" w:space="0"/>
              <w:left w:val="single" w:color="000000" w:sz="4" w:space="0"/>
              <w:bottom w:val="single" w:color="000000" w:sz="4" w:space="0"/>
              <w:right w:val="single" w:color="000000" w:sz="4" w:space="0"/>
            </w:tcBorders>
            <w:vAlign w:val="center"/>
          </w:tcPr>
          <w:p w14:paraId="1D0D1E3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749" w:type="dxa"/>
            <w:tcBorders>
              <w:top w:val="single" w:color="000000" w:sz="4" w:space="0"/>
              <w:left w:val="single" w:color="000000" w:sz="4" w:space="0"/>
              <w:bottom w:val="single" w:color="000000" w:sz="4" w:space="0"/>
              <w:right w:val="single" w:color="000000" w:sz="4" w:space="0"/>
            </w:tcBorders>
            <w:vAlign w:val="center"/>
          </w:tcPr>
          <w:p w14:paraId="13880FD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596" w:type="dxa"/>
            <w:tcBorders>
              <w:top w:val="single" w:color="000000" w:sz="4" w:space="0"/>
              <w:left w:val="single" w:color="000000" w:sz="4" w:space="0"/>
              <w:bottom w:val="single" w:color="000000" w:sz="4" w:space="0"/>
              <w:right w:val="single" w:color="000000" w:sz="4" w:space="0"/>
            </w:tcBorders>
            <w:vAlign w:val="center"/>
          </w:tcPr>
          <w:p w14:paraId="4609BF28">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4B584863">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4252F7D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8A84FDB">
        <w:tblPrEx>
          <w:tblCellMar>
            <w:top w:w="0" w:type="dxa"/>
            <w:left w:w="108" w:type="dxa"/>
            <w:bottom w:w="0" w:type="dxa"/>
            <w:right w:w="108" w:type="dxa"/>
          </w:tblCellMar>
        </w:tblPrEx>
        <w:trPr>
          <w:trHeight w:val="552" w:hRule="atLeast"/>
        </w:trPr>
        <w:tc>
          <w:tcPr>
            <w:tcW w:w="800" w:type="dxa"/>
            <w:vMerge w:val="continue"/>
            <w:tcBorders>
              <w:left w:val="single" w:color="000000" w:sz="4" w:space="0"/>
              <w:right w:val="single" w:color="auto" w:sz="4" w:space="0"/>
            </w:tcBorders>
            <w:vAlign w:val="center"/>
          </w:tcPr>
          <w:p w14:paraId="342E11D0">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3237" w:type="dxa"/>
            <w:tcBorders>
              <w:top w:val="single" w:color="000000" w:sz="4" w:space="0"/>
              <w:left w:val="single" w:color="auto" w:sz="4" w:space="0"/>
              <w:bottom w:val="single" w:color="000000" w:sz="4" w:space="0"/>
              <w:right w:val="single" w:color="000000" w:sz="4" w:space="0"/>
            </w:tcBorders>
            <w:vAlign w:val="center"/>
          </w:tcPr>
          <w:p w14:paraId="5B59E0A5">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A02010214接口适配器</w:t>
            </w:r>
          </w:p>
        </w:tc>
        <w:tc>
          <w:tcPr>
            <w:tcW w:w="988" w:type="dxa"/>
            <w:tcBorders>
              <w:top w:val="single" w:color="000000" w:sz="4" w:space="0"/>
              <w:left w:val="single" w:color="auto" w:sz="4" w:space="0"/>
              <w:bottom w:val="single" w:color="000000" w:sz="4" w:space="0"/>
              <w:right w:val="single" w:color="000000" w:sz="4" w:space="0"/>
            </w:tcBorders>
            <w:vAlign w:val="center"/>
          </w:tcPr>
          <w:p w14:paraId="5E939322">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2027" w:type="dxa"/>
            <w:tcBorders>
              <w:top w:val="single" w:color="000000" w:sz="4" w:space="0"/>
              <w:left w:val="single" w:color="000000" w:sz="4" w:space="0"/>
              <w:bottom w:val="single" w:color="000000" w:sz="4" w:space="0"/>
              <w:right w:val="single" w:color="auto" w:sz="4" w:space="0"/>
            </w:tcBorders>
            <w:vAlign w:val="center"/>
          </w:tcPr>
          <w:p w14:paraId="7193F81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单模</w:t>
            </w:r>
            <w:r>
              <w:rPr>
                <w:rFonts w:hint="eastAsia" w:asciiTheme="minorEastAsia" w:hAnsiTheme="minorEastAsia" w:eastAsiaTheme="minorEastAsia" w:cstheme="minorEastAsia"/>
                <w:color w:val="auto"/>
                <w:sz w:val="24"/>
                <w:szCs w:val="24"/>
                <w:highlight w:val="none"/>
                <w:lang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247D4946">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个</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204">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96</w:t>
            </w:r>
          </w:p>
        </w:tc>
        <w:tc>
          <w:tcPr>
            <w:tcW w:w="596" w:type="dxa"/>
            <w:tcBorders>
              <w:top w:val="single" w:color="000000" w:sz="4" w:space="0"/>
              <w:left w:val="single" w:color="000000" w:sz="4" w:space="0"/>
              <w:bottom w:val="single" w:color="000000" w:sz="4" w:space="0"/>
              <w:right w:val="single" w:color="000000" w:sz="4" w:space="0"/>
            </w:tcBorders>
            <w:vAlign w:val="center"/>
          </w:tcPr>
          <w:p w14:paraId="1BA30901">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75514AD3">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5DCE1633">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2429613A">
        <w:tblPrEx>
          <w:tblCellMar>
            <w:top w:w="0" w:type="dxa"/>
            <w:left w:w="108" w:type="dxa"/>
            <w:bottom w:w="0" w:type="dxa"/>
            <w:right w:w="108" w:type="dxa"/>
          </w:tblCellMar>
        </w:tblPrEx>
        <w:trPr>
          <w:trHeight w:val="552" w:hRule="atLeast"/>
        </w:trPr>
        <w:tc>
          <w:tcPr>
            <w:tcW w:w="800" w:type="dxa"/>
            <w:vMerge w:val="continue"/>
            <w:tcBorders>
              <w:left w:val="single" w:color="000000" w:sz="4" w:space="0"/>
              <w:right w:val="single" w:color="auto" w:sz="4" w:space="0"/>
            </w:tcBorders>
            <w:vAlign w:val="center"/>
          </w:tcPr>
          <w:p w14:paraId="7869EEC2">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3237" w:type="dxa"/>
            <w:tcBorders>
              <w:top w:val="single" w:color="000000" w:sz="4" w:space="0"/>
              <w:left w:val="single" w:color="auto" w:sz="4" w:space="0"/>
              <w:bottom w:val="single" w:color="000000" w:sz="4" w:space="0"/>
              <w:right w:val="single" w:color="000000" w:sz="4" w:space="0"/>
            </w:tcBorders>
            <w:vAlign w:val="center"/>
          </w:tcPr>
          <w:p w14:paraId="05FD632C">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A02010214接口适配器</w:t>
            </w:r>
          </w:p>
        </w:tc>
        <w:tc>
          <w:tcPr>
            <w:tcW w:w="988" w:type="dxa"/>
            <w:tcBorders>
              <w:top w:val="single" w:color="000000" w:sz="4" w:space="0"/>
              <w:left w:val="single" w:color="auto" w:sz="4" w:space="0"/>
              <w:bottom w:val="single" w:color="000000" w:sz="4" w:space="0"/>
              <w:right w:val="single" w:color="000000" w:sz="4" w:space="0"/>
            </w:tcBorders>
            <w:vAlign w:val="center"/>
          </w:tcPr>
          <w:p w14:paraId="2DFD8D96">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2027" w:type="dxa"/>
            <w:tcBorders>
              <w:top w:val="single" w:color="000000" w:sz="4" w:space="0"/>
              <w:left w:val="single" w:color="000000" w:sz="4" w:space="0"/>
              <w:bottom w:val="single" w:color="000000" w:sz="4" w:space="0"/>
              <w:right w:val="single" w:color="auto" w:sz="4" w:space="0"/>
            </w:tcBorders>
            <w:vAlign w:val="center"/>
          </w:tcPr>
          <w:p w14:paraId="52737C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多模</w:t>
            </w:r>
            <w:r>
              <w:rPr>
                <w:rFonts w:hint="eastAsia" w:asciiTheme="minorEastAsia" w:hAnsiTheme="minorEastAsia" w:eastAsiaTheme="minorEastAsia" w:cstheme="minorEastAsia"/>
                <w:color w:val="auto"/>
                <w:sz w:val="24"/>
                <w:szCs w:val="24"/>
                <w:highlight w:val="none"/>
                <w:lang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40D8A189">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个</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35A3">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c>
          <w:tcPr>
            <w:tcW w:w="596" w:type="dxa"/>
            <w:tcBorders>
              <w:top w:val="single" w:color="000000" w:sz="4" w:space="0"/>
              <w:left w:val="single" w:color="000000" w:sz="4" w:space="0"/>
              <w:bottom w:val="single" w:color="000000" w:sz="4" w:space="0"/>
              <w:right w:val="single" w:color="000000" w:sz="4" w:space="0"/>
            </w:tcBorders>
            <w:vAlign w:val="center"/>
          </w:tcPr>
          <w:p w14:paraId="4D21A340">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4FA8EAED">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5589916B">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67E08A8C">
        <w:tblPrEx>
          <w:tblCellMar>
            <w:top w:w="0" w:type="dxa"/>
            <w:left w:w="108" w:type="dxa"/>
            <w:bottom w:w="0" w:type="dxa"/>
            <w:right w:w="108" w:type="dxa"/>
          </w:tblCellMar>
        </w:tblPrEx>
        <w:trPr>
          <w:trHeight w:val="626" w:hRule="atLeast"/>
        </w:trPr>
        <w:tc>
          <w:tcPr>
            <w:tcW w:w="800" w:type="dxa"/>
            <w:vMerge w:val="continue"/>
            <w:tcBorders>
              <w:left w:val="single" w:color="000000" w:sz="4" w:space="0"/>
              <w:right w:val="single" w:color="auto" w:sz="4" w:space="0"/>
            </w:tcBorders>
            <w:vAlign w:val="center"/>
          </w:tcPr>
          <w:p w14:paraId="5495C09B">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3237" w:type="dxa"/>
            <w:tcBorders>
              <w:top w:val="single" w:color="000000" w:sz="4" w:space="0"/>
              <w:left w:val="single" w:color="auto" w:sz="4" w:space="0"/>
              <w:bottom w:val="single" w:color="000000" w:sz="4" w:space="0"/>
              <w:right w:val="single" w:color="000000" w:sz="4" w:space="0"/>
            </w:tcBorders>
            <w:vAlign w:val="center"/>
          </w:tcPr>
          <w:p w14:paraId="6D92CE6F">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A02010299其他网络设备</w:t>
            </w:r>
          </w:p>
        </w:tc>
        <w:tc>
          <w:tcPr>
            <w:tcW w:w="988" w:type="dxa"/>
            <w:tcBorders>
              <w:top w:val="single" w:color="000000" w:sz="4" w:space="0"/>
              <w:left w:val="single" w:color="auto" w:sz="4" w:space="0"/>
              <w:bottom w:val="single" w:color="000000" w:sz="4" w:space="0"/>
              <w:right w:val="single" w:color="000000" w:sz="4" w:space="0"/>
            </w:tcBorders>
            <w:vAlign w:val="center"/>
          </w:tcPr>
          <w:p w14:paraId="05AA5F04">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2027" w:type="dxa"/>
            <w:tcBorders>
              <w:top w:val="single" w:color="000000" w:sz="4" w:space="0"/>
              <w:left w:val="single" w:color="000000" w:sz="4" w:space="0"/>
              <w:bottom w:val="single" w:color="000000" w:sz="4" w:space="0"/>
              <w:right w:val="single" w:color="auto" w:sz="4" w:space="0"/>
            </w:tcBorders>
            <w:vAlign w:val="center"/>
          </w:tcPr>
          <w:p w14:paraId="555972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5米</w:t>
            </w:r>
            <w:r>
              <w:rPr>
                <w:rFonts w:hint="eastAsia" w:asciiTheme="minorEastAsia" w:hAnsiTheme="minorEastAsia" w:eastAsiaTheme="minorEastAsia" w:cstheme="minorEastAsia"/>
                <w:color w:val="auto"/>
                <w:sz w:val="24"/>
                <w:szCs w:val="24"/>
                <w:highlight w:val="none"/>
                <w:lang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51B93988">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5AC8">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96</w:t>
            </w:r>
          </w:p>
        </w:tc>
        <w:tc>
          <w:tcPr>
            <w:tcW w:w="596" w:type="dxa"/>
            <w:tcBorders>
              <w:top w:val="single" w:color="000000" w:sz="4" w:space="0"/>
              <w:left w:val="single" w:color="000000" w:sz="4" w:space="0"/>
              <w:bottom w:val="single" w:color="000000" w:sz="4" w:space="0"/>
              <w:right w:val="single" w:color="000000" w:sz="4" w:space="0"/>
            </w:tcBorders>
            <w:vAlign w:val="center"/>
          </w:tcPr>
          <w:p w14:paraId="3245E76B">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4C91D23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5AE51FA">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55B447EA">
        <w:tblPrEx>
          <w:tblCellMar>
            <w:top w:w="0" w:type="dxa"/>
            <w:left w:w="108" w:type="dxa"/>
            <w:bottom w:w="0" w:type="dxa"/>
            <w:right w:w="108" w:type="dxa"/>
          </w:tblCellMar>
        </w:tblPrEx>
        <w:trPr>
          <w:trHeight w:val="558" w:hRule="atLeast"/>
        </w:trPr>
        <w:tc>
          <w:tcPr>
            <w:tcW w:w="800" w:type="dxa"/>
            <w:vMerge w:val="continue"/>
            <w:tcBorders>
              <w:left w:val="single" w:color="000000" w:sz="4" w:space="0"/>
              <w:right w:val="single" w:color="auto" w:sz="4" w:space="0"/>
            </w:tcBorders>
            <w:vAlign w:val="center"/>
          </w:tcPr>
          <w:p w14:paraId="749E8071">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3237" w:type="dxa"/>
            <w:tcBorders>
              <w:top w:val="single" w:color="000000" w:sz="4" w:space="0"/>
              <w:left w:val="single" w:color="auto" w:sz="4" w:space="0"/>
              <w:bottom w:val="single" w:color="000000" w:sz="4" w:space="0"/>
              <w:right w:val="single" w:color="000000" w:sz="4" w:space="0"/>
            </w:tcBorders>
            <w:vAlign w:val="center"/>
          </w:tcPr>
          <w:p w14:paraId="62B8568D">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A02010299其他网络设备</w:t>
            </w:r>
          </w:p>
        </w:tc>
        <w:tc>
          <w:tcPr>
            <w:tcW w:w="988" w:type="dxa"/>
            <w:tcBorders>
              <w:top w:val="single" w:color="000000" w:sz="4" w:space="0"/>
              <w:left w:val="single" w:color="auto" w:sz="4" w:space="0"/>
              <w:bottom w:val="single" w:color="000000" w:sz="4" w:space="0"/>
              <w:right w:val="single" w:color="000000" w:sz="4" w:space="0"/>
            </w:tcBorders>
            <w:vAlign w:val="center"/>
          </w:tcPr>
          <w:p w14:paraId="14389E48">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2027" w:type="dxa"/>
            <w:tcBorders>
              <w:top w:val="single" w:color="000000" w:sz="4" w:space="0"/>
              <w:left w:val="single" w:color="000000" w:sz="4" w:space="0"/>
              <w:bottom w:val="single" w:color="000000" w:sz="4" w:space="0"/>
              <w:right w:val="single" w:color="auto" w:sz="4" w:space="0"/>
            </w:tcBorders>
            <w:vAlign w:val="center"/>
          </w:tcPr>
          <w:p w14:paraId="5CDFDF7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米</w:t>
            </w:r>
            <w:r>
              <w:rPr>
                <w:rFonts w:hint="eastAsia" w:asciiTheme="minorEastAsia" w:hAnsiTheme="minorEastAsia" w:eastAsiaTheme="minorEastAsia" w:cstheme="minorEastAsia"/>
                <w:color w:val="auto"/>
                <w:sz w:val="24"/>
                <w:szCs w:val="24"/>
                <w:highlight w:val="none"/>
                <w:lang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14:paraId="379925F4">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2BA0">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vAlign w:val="center"/>
          </w:tcPr>
          <w:p w14:paraId="140361EC">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6D87043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6EB70D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0820E94F">
        <w:tblPrEx>
          <w:tblCellMar>
            <w:top w:w="0" w:type="dxa"/>
            <w:left w:w="108" w:type="dxa"/>
            <w:bottom w:w="0" w:type="dxa"/>
            <w:right w:w="108" w:type="dxa"/>
          </w:tblCellMar>
        </w:tblPrEx>
        <w:trPr>
          <w:trHeight w:val="626" w:hRule="atLeast"/>
        </w:trPr>
        <w:tc>
          <w:tcPr>
            <w:tcW w:w="800" w:type="dxa"/>
            <w:vMerge w:val="continue"/>
            <w:tcBorders>
              <w:left w:val="single" w:color="000000" w:sz="4" w:space="0"/>
              <w:bottom w:val="single" w:color="000000" w:sz="4" w:space="0"/>
              <w:right w:val="single" w:color="auto" w:sz="4" w:space="0"/>
            </w:tcBorders>
            <w:vAlign w:val="center"/>
          </w:tcPr>
          <w:p w14:paraId="4B5C1EBB">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3237" w:type="dxa"/>
            <w:tcBorders>
              <w:top w:val="single" w:color="000000" w:sz="4" w:space="0"/>
              <w:left w:val="single" w:color="auto" w:sz="4" w:space="0"/>
              <w:bottom w:val="single" w:color="000000" w:sz="4" w:space="0"/>
              <w:right w:val="single" w:color="000000" w:sz="4" w:space="0"/>
            </w:tcBorders>
            <w:vAlign w:val="center"/>
          </w:tcPr>
          <w:p w14:paraId="6ABC1F07">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A02010299其他网络设备</w:t>
            </w:r>
          </w:p>
        </w:tc>
        <w:tc>
          <w:tcPr>
            <w:tcW w:w="988" w:type="dxa"/>
            <w:tcBorders>
              <w:top w:val="single" w:color="000000" w:sz="4" w:space="0"/>
              <w:left w:val="single" w:color="auto" w:sz="4" w:space="0"/>
              <w:bottom w:val="single" w:color="000000" w:sz="4" w:space="0"/>
              <w:right w:val="single" w:color="000000" w:sz="4" w:space="0"/>
            </w:tcBorders>
            <w:vAlign w:val="center"/>
          </w:tcPr>
          <w:p w14:paraId="071F6842">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2027" w:type="dxa"/>
            <w:tcBorders>
              <w:top w:val="single" w:color="000000" w:sz="4" w:space="0"/>
              <w:left w:val="single" w:color="000000" w:sz="4" w:space="0"/>
              <w:bottom w:val="single" w:color="000000" w:sz="4" w:space="0"/>
              <w:right w:val="single" w:color="auto" w:sz="4" w:space="0"/>
            </w:tcBorders>
            <w:vAlign w:val="center"/>
          </w:tcPr>
          <w:p w14:paraId="6A45239A">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人工辅材</w:t>
            </w:r>
          </w:p>
        </w:tc>
        <w:tc>
          <w:tcPr>
            <w:tcW w:w="732" w:type="dxa"/>
            <w:tcBorders>
              <w:top w:val="single" w:color="000000" w:sz="4" w:space="0"/>
              <w:left w:val="single" w:color="000000" w:sz="4" w:space="0"/>
              <w:bottom w:val="single" w:color="000000" w:sz="4" w:space="0"/>
              <w:right w:val="single" w:color="000000" w:sz="4" w:space="0"/>
            </w:tcBorders>
            <w:vAlign w:val="center"/>
          </w:tcPr>
          <w:p w14:paraId="5DEE3253">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w:t>
            </w:r>
          </w:p>
        </w:tc>
        <w:tc>
          <w:tcPr>
            <w:tcW w:w="749" w:type="dxa"/>
            <w:tcBorders>
              <w:top w:val="single" w:color="000000" w:sz="4" w:space="0"/>
              <w:left w:val="single" w:color="000000" w:sz="4" w:space="0"/>
              <w:bottom w:val="single" w:color="000000" w:sz="4" w:space="0"/>
              <w:right w:val="single" w:color="000000" w:sz="4" w:space="0"/>
            </w:tcBorders>
            <w:vAlign w:val="center"/>
          </w:tcPr>
          <w:p w14:paraId="2B3612D6">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596" w:type="dxa"/>
            <w:tcBorders>
              <w:top w:val="single" w:color="000000" w:sz="4" w:space="0"/>
              <w:left w:val="single" w:color="000000" w:sz="4" w:space="0"/>
              <w:bottom w:val="single" w:color="000000" w:sz="4" w:space="0"/>
              <w:right w:val="single" w:color="000000" w:sz="4" w:space="0"/>
            </w:tcBorders>
            <w:vAlign w:val="center"/>
          </w:tcPr>
          <w:p w14:paraId="07B2BE44">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3DFFC3C9">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405D9955">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r w14:paraId="140EC403">
        <w:tblPrEx>
          <w:tblCellMar>
            <w:top w:w="0" w:type="dxa"/>
            <w:left w:w="108" w:type="dxa"/>
            <w:bottom w:w="0" w:type="dxa"/>
            <w:right w:w="108" w:type="dxa"/>
          </w:tblCellMar>
        </w:tblPrEx>
        <w:trPr>
          <w:trHeight w:val="524" w:hRule="atLeast"/>
        </w:trPr>
        <w:tc>
          <w:tcPr>
            <w:tcW w:w="10935" w:type="dxa"/>
            <w:gridSpan w:val="9"/>
            <w:tcBorders>
              <w:top w:val="single" w:color="000000" w:sz="4" w:space="0"/>
              <w:left w:val="single" w:color="000000" w:sz="4" w:space="0"/>
              <w:bottom w:val="single" w:color="000000" w:sz="4" w:space="0"/>
              <w:right w:val="single" w:color="000000" w:sz="4" w:space="0"/>
            </w:tcBorders>
            <w:vAlign w:val="center"/>
          </w:tcPr>
          <w:p w14:paraId="0FD4747C">
            <w:pPr>
              <w:widowControl/>
              <w:jc w:val="left"/>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成交下浮率：</w:t>
            </w:r>
            <w:r>
              <w:rPr>
                <w:rFonts w:hint="eastAsia" w:asciiTheme="minorEastAsia" w:hAnsiTheme="minorEastAsia" w:eastAsiaTheme="minorEastAsia" w:cstheme="minorEastAsia"/>
                <w:color w:val="auto"/>
                <w:sz w:val="24"/>
                <w:szCs w:val="24"/>
                <w:highlight w:val="none"/>
                <w:u w:val="single"/>
                <w:lang w:val="en-US" w:eastAsia="zh-CN"/>
              </w:rPr>
              <w:t xml:space="preserve">          </w:t>
            </w:r>
          </w:p>
        </w:tc>
      </w:tr>
      <w:tr w14:paraId="5E8106DF">
        <w:tblPrEx>
          <w:tblCellMar>
            <w:top w:w="0" w:type="dxa"/>
            <w:left w:w="108" w:type="dxa"/>
            <w:bottom w:w="0" w:type="dxa"/>
            <w:right w:w="108" w:type="dxa"/>
          </w:tblCellMar>
        </w:tblPrEx>
        <w:trPr>
          <w:trHeight w:val="524" w:hRule="atLeast"/>
        </w:trPr>
        <w:tc>
          <w:tcPr>
            <w:tcW w:w="10935" w:type="dxa"/>
            <w:gridSpan w:val="9"/>
            <w:tcBorders>
              <w:top w:val="single" w:color="000000" w:sz="4" w:space="0"/>
              <w:left w:val="single" w:color="000000" w:sz="4" w:space="0"/>
              <w:bottom w:val="single" w:color="000000" w:sz="4" w:space="0"/>
              <w:right w:val="single" w:color="000000" w:sz="4" w:space="0"/>
            </w:tcBorders>
            <w:vAlign w:val="center"/>
          </w:tcPr>
          <w:p w14:paraId="4B287AAD">
            <w:pPr>
              <w:widowControl/>
              <w:jc w:val="left"/>
              <w:textAlignment w:val="center"/>
              <w:rPr>
                <w:rFonts w:hint="eastAsia" w:ascii="宋体" w:hAnsi="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成交总</w:t>
            </w:r>
            <w:r>
              <w:rPr>
                <w:rFonts w:hint="eastAsia" w:ascii="宋体" w:hAnsi="宋体" w:cs="宋体"/>
                <w:color w:val="auto"/>
                <w:sz w:val="24"/>
                <w:szCs w:val="24"/>
                <w:highlight w:val="none"/>
                <w:lang w:val="en-US" w:eastAsia="zh-CN"/>
              </w:rPr>
              <w:t>价（大写）</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p>
        </w:tc>
      </w:tr>
    </w:tbl>
    <w:p w14:paraId="223B51C1">
      <w:pPr>
        <w:numPr>
          <w:ilvl w:val="0"/>
          <w:numId w:val="0"/>
        </w:numPr>
        <w:spacing w:line="360" w:lineRule="auto"/>
        <w:rPr>
          <w:rFonts w:hint="eastAsia" w:ascii="宋体" w:hAnsi="宋体" w:cs="宋体"/>
          <w:b/>
          <w:bCs/>
          <w:color w:val="auto"/>
          <w:kern w:val="2"/>
          <w:sz w:val="24"/>
          <w:szCs w:val="24"/>
          <w:highlight w:val="none"/>
          <w:lang w:val="en-US" w:eastAsia="zh-CN" w:bidi="ar-SA"/>
        </w:rPr>
      </w:pPr>
    </w:p>
    <w:p w14:paraId="71C3FE46">
      <w:pPr>
        <w:numPr>
          <w:ilvl w:val="0"/>
          <w:numId w:val="3"/>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技术服务及要求：</w:t>
      </w:r>
    </w:p>
    <w:tbl>
      <w:tblPr>
        <w:tblStyle w:val="20"/>
        <w:tblW w:w="9469" w:type="dxa"/>
        <w:jc w:val="center"/>
        <w:tblLayout w:type="fixed"/>
        <w:tblCellMar>
          <w:top w:w="0" w:type="dxa"/>
          <w:left w:w="108" w:type="dxa"/>
          <w:bottom w:w="0" w:type="dxa"/>
          <w:right w:w="108" w:type="dxa"/>
        </w:tblCellMar>
      </w:tblPr>
      <w:tblGrid>
        <w:gridCol w:w="713"/>
        <w:gridCol w:w="1378"/>
        <w:gridCol w:w="7378"/>
      </w:tblGrid>
      <w:tr w14:paraId="12B89CB2">
        <w:tblPrEx>
          <w:tblCellMar>
            <w:top w:w="0" w:type="dxa"/>
            <w:left w:w="108" w:type="dxa"/>
            <w:bottom w:w="0" w:type="dxa"/>
            <w:right w:w="108" w:type="dxa"/>
          </w:tblCellMar>
        </w:tblPrEx>
        <w:trPr>
          <w:trHeight w:val="0" w:hRule="atLeast"/>
          <w:jc w:val="center"/>
        </w:trPr>
        <w:tc>
          <w:tcPr>
            <w:tcW w:w="713" w:type="dxa"/>
            <w:tcBorders>
              <w:top w:val="single" w:color="auto" w:sz="4" w:space="0"/>
              <w:left w:val="single" w:color="000000" w:sz="4" w:space="0"/>
              <w:bottom w:val="single" w:color="000000" w:sz="4" w:space="0"/>
              <w:right w:val="single" w:color="000000" w:sz="4" w:space="0"/>
            </w:tcBorders>
            <w:vAlign w:val="center"/>
          </w:tcPr>
          <w:p w14:paraId="57116DE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1378" w:type="dxa"/>
            <w:tcBorders>
              <w:top w:val="single" w:color="auto" w:sz="4" w:space="0"/>
              <w:left w:val="single" w:color="000000" w:sz="4" w:space="0"/>
              <w:bottom w:val="single" w:color="000000" w:sz="4" w:space="0"/>
              <w:right w:val="single" w:color="000000" w:sz="4" w:space="0"/>
            </w:tcBorders>
            <w:vAlign w:val="center"/>
          </w:tcPr>
          <w:p w14:paraId="069D2DB7">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设备名称</w:t>
            </w:r>
          </w:p>
        </w:tc>
        <w:tc>
          <w:tcPr>
            <w:tcW w:w="7378" w:type="dxa"/>
            <w:tcBorders>
              <w:top w:val="single" w:color="auto" w:sz="4" w:space="0"/>
              <w:left w:val="single" w:color="000000" w:sz="4" w:space="0"/>
              <w:bottom w:val="single" w:color="000000" w:sz="4" w:space="0"/>
              <w:right w:val="single" w:color="000000" w:sz="4" w:space="0"/>
            </w:tcBorders>
            <w:vAlign w:val="center"/>
          </w:tcPr>
          <w:p w14:paraId="25AEA39E">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w:t>
            </w:r>
          </w:p>
        </w:tc>
      </w:tr>
      <w:tr w14:paraId="3D92818D">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49AFCA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24A7">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核心交换机</w:t>
            </w:r>
          </w:p>
        </w:tc>
        <w:tc>
          <w:tcPr>
            <w:tcW w:w="7378" w:type="dxa"/>
            <w:tcBorders>
              <w:top w:val="single" w:color="000000" w:sz="4" w:space="0"/>
              <w:left w:val="single" w:color="000000" w:sz="4" w:space="0"/>
              <w:bottom w:val="single" w:color="000000" w:sz="4" w:space="0"/>
              <w:right w:val="single" w:color="000000" w:sz="4" w:space="0"/>
            </w:tcBorders>
            <w:vAlign w:val="center"/>
          </w:tcPr>
          <w:p w14:paraId="0E9573BE">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1.交换容量≥1904Tbps，包转发率≥460800Mpps；</w:t>
            </w:r>
          </w:p>
          <w:p w14:paraId="13315EB1">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2.主控引擎≥2；独立交换网板≥4；整机业务板槽位数≥8；</w:t>
            </w:r>
          </w:p>
          <w:p w14:paraId="76DE674C">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3.为适应机柜并排部署，设备机箱（包括业务板卡区）采用后出风风道设计；</w:t>
            </w:r>
          </w:p>
          <w:p w14:paraId="7B892A6B">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4.支持整机MAC地址≥1M；支持整机ARP表项≥384K；支持IPv4路由转发表FIB规格≥3M；</w:t>
            </w:r>
          </w:p>
          <w:p w14:paraId="45B37E78">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5.支持并配置1个独立的硬件监控板卡,控制平面和监控平面物理槽位分离，可对设备的电源模块和风扇模块进行管理，支持热插拔并支持冗余备份；</w:t>
            </w:r>
          </w:p>
          <w:p w14:paraId="4A631450">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6.支持MPLSVPN/VLL/VPLS、MPLS-TE、MPLSOAM；</w:t>
            </w:r>
          </w:p>
          <w:p w14:paraId="29BCBC3E">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7.支持适用600mm深度机柜；</w:t>
            </w:r>
          </w:p>
          <w:p w14:paraId="7AD9E019">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8.关键CPU、转发芯片采用国产化芯片；</w:t>
            </w:r>
          </w:p>
          <w:p w14:paraId="39EAA1AD">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9.支持业务随行功能，不管用户身处何地、使用哪个IP地址，都可以保证该用户获得相同的网络访问策略；</w:t>
            </w:r>
          </w:p>
          <w:p w14:paraId="005D8A9D">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10.支持静态路由、RIP、RIPng、OSPF、OSPFv3、BGP、BGP4+、ISIS、ISISv6；</w:t>
            </w:r>
          </w:p>
          <w:p w14:paraId="6501199B">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11.支持异常监控功能，包含死循环、断言、内存、Kbox；黑匣子、corefile单列；</w:t>
            </w:r>
          </w:p>
          <w:p w14:paraId="6CA099A0">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12.支持真实业务流的实时检测技术，可通过直接对业务报文进行标记的方法，实现对网络和设备的丢包情况进行统计；</w:t>
            </w:r>
          </w:p>
          <w:p w14:paraId="7162B527">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13.本次配置：双主控、双交换网板，双3000W交流电源模块；配置≥48千兆电接口；配置≥96万兆光接口，1条万兆堆叠线缆，原厂3年维保；</w:t>
            </w:r>
          </w:p>
          <w:p w14:paraId="554BDB0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14、设备支持双机热备，包含现有设备的重新组网等业务实施，根据现有业务需求交付</w:t>
            </w:r>
            <w:r>
              <w:rPr>
                <w:rFonts w:hint="eastAsia" w:asciiTheme="minorEastAsia" w:hAnsiTheme="minorEastAsia" w:eastAsiaTheme="minorEastAsia" w:cstheme="minorEastAsia"/>
                <w:color w:val="auto"/>
                <w:sz w:val="24"/>
                <w:szCs w:val="24"/>
                <w:highlight w:val="none"/>
                <w:lang w:eastAsia="zh-CN"/>
              </w:rPr>
              <w:t>。</w:t>
            </w:r>
          </w:p>
        </w:tc>
      </w:tr>
      <w:tr w14:paraId="74ABB64A">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07BFFBD">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FF1">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bidi="ar"/>
              </w:rPr>
              <w:t>入侵防御系统</w:t>
            </w:r>
          </w:p>
        </w:tc>
        <w:tc>
          <w:tcPr>
            <w:tcW w:w="7378" w:type="dxa"/>
            <w:tcBorders>
              <w:top w:val="single" w:color="000000" w:sz="4" w:space="0"/>
              <w:left w:val="single" w:color="000000" w:sz="4" w:space="0"/>
              <w:bottom w:val="single" w:color="000000" w:sz="4" w:space="0"/>
              <w:right w:val="single" w:color="000000" w:sz="4" w:space="0"/>
            </w:tcBorders>
            <w:vAlign w:val="center"/>
          </w:tcPr>
          <w:p w14:paraId="2C4C3C2D">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1.配置≥6个千兆电口、≥4个万兆光口、≥2个扩展槽；≥1个USB口、≥1个控制口；≥128GSSD、≥2T企业级硬盘；配备冗余电源；并发连接≥180万；新建连接≥3万；IPS吞吐≥1.2Gbps;网络吞吐≥6Gbps；</w:t>
            </w:r>
          </w:p>
          <w:p w14:paraId="6C3B414C">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2.支持DDOS防御功能，可分别设置UDP、SYN、ICMP、HTTPGet、HTTPPost等阈值，超过阈值可进行告警或隔离；</w:t>
            </w:r>
          </w:p>
          <w:p w14:paraId="5E7014EB">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3.支持网页内容过滤，可以自定义关键词和关键字，并可过滤Active、Cookie、JavaApplet等内容；</w:t>
            </w:r>
          </w:p>
          <w:p w14:paraId="18F9F5B4">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4.支持在线抓包等调试工具，并且不需要导出即可在设备上查看抓包内容；支持邮件告警通知功能，自定义身份认证、邮件、即时通讯等通知消息；内网有入侵时支持并不仅限于(自定义发送告警代码，</w:t>
            </w:r>
            <w:r>
              <w:rPr>
                <w:rFonts w:hint="eastAsia" w:asciiTheme="minorEastAsia" w:hAnsiTheme="minorEastAsia" w:eastAsiaTheme="minorEastAsia" w:cstheme="minorEastAsia"/>
                <w:b w:val="0"/>
                <w:bCs w:val="0"/>
                <w:color w:val="auto"/>
                <w:sz w:val="24"/>
                <w:szCs w:val="24"/>
                <w:highlight w:val="none"/>
              </w:rPr>
              <w:t>可依据低危、中危、高危三级风险等级外发对应告警代码，实现分级声光、语音、短信、电话告警，并可根据需求定制化适配终端类型)</w:t>
            </w:r>
            <w:r>
              <w:rPr>
                <w:rFonts w:hint="eastAsia" w:asciiTheme="minorEastAsia" w:hAnsiTheme="minorEastAsia" w:eastAsiaTheme="minorEastAsia" w:cstheme="minorEastAsia"/>
                <w:color w:val="auto"/>
                <w:sz w:val="24"/>
                <w:szCs w:val="24"/>
                <w:highlight w:val="none"/>
                <w:lang w:eastAsia="zh-CN"/>
              </w:rPr>
              <w:t>；</w:t>
            </w:r>
          </w:p>
          <w:p w14:paraId="4787C055">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具备病毒防护功能，内置病毒库特征，支持对</w:t>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z w:val="24"/>
                <w:szCs w:val="24"/>
                <w:highlight w:val="none"/>
                <w:lang w:val="en-US" w:eastAsia="zh-CN"/>
              </w:rPr>
              <w:t>/HTTPS、</w:t>
            </w:r>
            <w:r>
              <w:rPr>
                <w:rFonts w:hint="eastAsia" w:asciiTheme="minorEastAsia" w:hAnsiTheme="minorEastAsia" w:eastAsiaTheme="minorEastAsia" w:cstheme="minorEastAsia"/>
                <w:color w:val="auto"/>
                <w:sz w:val="24"/>
                <w:szCs w:val="24"/>
                <w:highlight w:val="none"/>
              </w:rPr>
              <w:t>SMTP、</w:t>
            </w:r>
            <w:r>
              <w:rPr>
                <w:rFonts w:hint="eastAsia" w:asciiTheme="minorEastAsia" w:hAnsiTheme="minorEastAsia" w:eastAsiaTheme="minorEastAsia" w:cstheme="minorEastAsia"/>
                <w:color w:val="auto"/>
                <w:sz w:val="24"/>
                <w:szCs w:val="24"/>
                <w:highlight w:val="none"/>
                <w:lang w:val="en-US" w:eastAsia="zh-CN"/>
              </w:rPr>
              <w:t>POP3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IMAP</w:t>
            </w:r>
            <w:r>
              <w:rPr>
                <w:rFonts w:hint="eastAsia" w:asciiTheme="minorEastAsia" w:hAnsiTheme="minorEastAsia" w:eastAsiaTheme="minorEastAsia" w:cstheme="minorEastAsia"/>
                <w:color w:val="auto"/>
                <w:sz w:val="24"/>
                <w:szCs w:val="24"/>
                <w:highlight w:val="none"/>
              </w:rPr>
              <w:t>、FTP</w:t>
            </w:r>
            <w:r>
              <w:rPr>
                <w:rFonts w:hint="eastAsia" w:asciiTheme="minorEastAsia" w:hAnsiTheme="minorEastAsia" w:eastAsiaTheme="minorEastAsia" w:cstheme="minorEastAsia"/>
                <w:color w:val="auto"/>
                <w:sz w:val="24"/>
                <w:szCs w:val="24"/>
                <w:highlight w:val="none"/>
                <w:lang w:val="en-US" w:eastAsia="zh-CN"/>
              </w:rPr>
              <w:t>等协议的病毒扫描与阻断</w:t>
            </w:r>
            <w:r>
              <w:rPr>
                <w:rFonts w:hint="eastAsia" w:asciiTheme="minorEastAsia" w:hAnsiTheme="minorEastAsia" w:eastAsiaTheme="minorEastAsia" w:cstheme="minorEastAsia"/>
                <w:color w:val="auto"/>
                <w:sz w:val="24"/>
                <w:szCs w:val="24"/>
                <w:highlight w:val="none"/>
              </w:rPr>
              <w:t>；</w:t>
            </w:r>
          </w:p>
          <w:p w14:paraId="58484C36">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6.支持Web代理网关模式，用户可通过IE代理访问互联网进行行为访问控制；</w:t>
            </w:r>
          </w:p>
          <w:p w14:paraId="6246B78F">
            <w:pPr>
              <w:keepNext w:val="0"/>
              <w:keepLines w:val="0"/>
              <w:pageBreakBefore w:val="0"/>
              <w:widowControl w:val="0"/>
              <w:kinsoku/>
              <w:wordWrap/>
              <w:overflowPunct/>
              <w:topLinePunct w:val="0"/>
              <w:autoSpaceDE/>
              <w:autoSpaceDN/>
              <w:bidi w:val="0"/>
              <w:adjustRightInd/>
              <w:snapToGrid/>
              <w:spacing w:line="360" w:lineRule="auto"/>
              <w:rPr>
                <w:rStyle w:val="23"/>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7.可实现与监狱现有态势感知平台联动建立联防联控机制；</w:t>
            </w:r>
          </w:p>
          <w:p w14:paraId="61300450">
            <w:pPr>
              <w:keepNext w:val="0"/>
              <w:keepLines w:val="0"/>
              <w:pageBreakBefore w:val="0"/>
              <w:widowControl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8.可实现与监狱现有的入侵防御系统双机热备；</w:t>
            </w:r>
          </w:p>
          <w:p w14:paraId="758ABB98">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9.内置入侵防御特征库，支持特征</w:t>
            </w:r>
            <w:r>
              <w:rPr>
                <w:rFonts w:hint="eastAsia" w:asciiTheme="minorEastAsia" w:hAnsiTheme="minorEastAsia" w:eastAsiaTheme="minorEastAsia" w:cstheme="minorEastAsia"/>
                <w:color w:val="auto"/>
                <w:sz w:val="24"/>
                <w:szCs w:val="24"/>
                <w:highlight w:val="none"/>
                <w:lang w:val="en-US" w:eastAsia="zh-CN"/>
              </w:rPr>
              <w:t>自</w:t>
            </w:r>
            <w:r>
              <w:rPr>
                <w:rFonts w:hint="eastAsia" w:asciiTheme="minorEastAsia" w:hAnsiTheme="minorEastAsia" w:eastAsiaTheme="minorEastAsia" w:cstheme="minorEastAsia"/>
                <w:color w:val="auto"/>
                <w:sz w:val="24"/>
                <w:szCs w:val="24"/>
                <w:highlight w:val="none"/>
              </w:rPr>
              <w:t>定义；支持勒索病毒行为、挖矿行为、WEB安全、木马行为、漏洞攻击、暴力破解、弱口令、敏感数据这些类型的特征；支持信誉机制，可对僵木蠕、勒索、挖矿、DDOS、傀儡机多种恶意IP或域名进行检测和过滤。</w:t>
            </w:r>
          </w:p>
        </w:tc>
      </w:tr>
      <w:tr w14:paraId="20591C00">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F6BEE7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D637">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单模</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669D5DDC">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万兆单模模块，波长1310nm，传输距离≥10km，LC接口</w:t>
            </w:r>
          </w:p>
        </w:tc>
      </w:tr>
      <w:tr w14:paraId="27EDDA32">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2815E251">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42E">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多模</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5D4EF30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万兆多模模块，波长850nm，LC接口</w:t>
            </w:r>
          </w:p>
        </w:tc>
      </w:tr>
      <w:tr w14:paraId="53FA1F93">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B361D6C">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53C">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5米</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1CA806A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LC--LC跳纤</w:t>
            </w:r>
          </w:p>
        </w:tc>
      </w:tr>
      <w:tr w14:paraId="7B78F40C">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3F3508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EB4">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10米</w:t>
            </w:r>
            <w:r>
              <w:rPr>
                <w:rFonts w:hint="eastAsia" w:asciiTheme="minorEastAsia" w:hAnsiTheme="minorEastAsia" w:eastAsiaTheme="minorEastAsia" w:cstheme="minorEastAsia"/>
                <w:color w:val="auto"/>
                <w:sz w:val="24"/>
                <w:szCs w:val="24"/>
                <w:highlight w:val="none"/>
                <w:lang w:eastAsia="zh-CN"/>
              </w:rPr>
              <w:t>）</w:t>
            </w:r>
          </w:p>
        </w:tc>
        <w:tc>
          <w:tcPr>
            <w:tcW w:w="7378" w:type="dxa"/>
            <w:tcBorders>
              <w:top w:val="single" w:color="000000" w:sz="4" w:space="0"/>
              <w:left w:val="single" w:color="000000" w:sz="4" w:space="0"/>
              <w:bottom w:val="single" w:color="000000" w:sz="4" w:space="0"/>
              <w:right w:val="single" w:color="000000" w:sz="4" w:space="0"/>
            </w:tcBorders>
            <w:vAlign w:val="center"/>
          </w:tcPr>
          <w:p w14:paraId="3BC08D04">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LC--LC跳纤</w:t>
            </w:r>
          </w:p>
        </w:tc>
      </w:tr>
      <w:tr w14:paraId="3B5D79A7">
        <w:tblPrEx>
          <w:tblCellMar>
            <w:top w:w="0" w:type="dxa"/>
            <w:left w:w="108" w:type="dxa"/>
            <w:bottom w:w="0" w:type="dxa"/>
            <w:right w:w="108" w:type="dxa"/>
          </w:tblCellMar>
        </w:tblPrEx>
        <w:trPr>
          <w:trHeight w:val="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3DAAD18">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F4D8">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人工辅材</w:t>
            </w:r>
          </w:p>
        </w:tc>
        <w:tc>
          <w:tcPr>
            <w:tcW w:w="7378" w:type="dxa"/>
            <w:tcBorders>
              <w:top w:val="single" w:color="000000" w:sz="4" w:space="0"/>
              <w:left w:val="single" w:color="000000" w:sz="4" w:space="0"/>
              <w:bottom w:val="single" w:color="000000" w:sz="4" w:space="0"/>
              <w:right w:val="single" w:color="000000" w:sz="4" w:space="0"/>
            </w:tcBorders>
            <w:vAlign w:val="center"/>
          </w:tcPr>
          <w:p w14:paraId="067EC4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包含调试、标签标识等</w:t>
            </w:r>
          </w:p>
        </w:tc>
      </w:tr>
    </w:tbl>
    <w:p w14:paraId="6FB7ADBF">
      <w:pPr>
        <w:numPr>
          <w:ilvl w:val="0"/>
          <w:numId w:val="0"/>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商务条件：</w:t>
      </w:r>
    </w:p>
    <w:p w14:paraId="7398CC98">
      <w:pPr>
        <w:spacing w:line="360" w:lineRule="auto"/>
        <w:rPr>
          <w:rFonts w:ascii="宋体" w:hAnsi="宋体" w:cs="宋体"/>
          <w:color w:val="auto"/>
          <w:sz w:val="24"/>
          <w:highlight w:val="none"/>
        </w:rPr>
      </w:pPr>
      <w:r>
        <w:rPr>
          <w:rFonts w:hint="eastAsia" w:ascii="宋体" w:hAnsi="宋体" w:cs="宋体"/>
          <w:b/>
          <w:bCs/>
          <w:color w:val="auto"/>
          <w:sz w:val="24"/>
          <w:highlight w:val="none"/>
        </w:rPr>
        <w:t>1、交付地点：</w:t>
      </w:r>
      <w:r>
        <w:rPr>
          <w:rFonts w:hint="eastAsia" w:ascii="宋体" w:hAnsi="宋体" w:eastAsia="宋体" w:cs="宋体"/>
          <w:color w:val="auto"/>
          <w:sz w:val="24"/>
          <w:highlight w:val="none"/>
          <w:lang w:eastAsia="zh-CN"/>
        </w:rPr>
        <w:t>福建省龙岩市新罗区凤凰北路2号，</w:t>
      </w:r>
      <w:r>
        <w:rPr>
          <w:rFonts w:hint="eastAsia" w:ascii="宋体" w:hAnsi="宋体" w:eastAsia="宋体" w:cs="宋体"/>
          <w:color w:val="auto"/>
          <w:sz w:val="24"/>
          <w:highlight w:val="none"/>
          <w:lang w:val="en-US" w:eastAsia="zh-CN"/>
        </w:rPr>
        <w:t>具体以</w:t>
      </w:r>
      <w:r>
        <w:rPr>
          <w:rFonts w:hint="eastAsia" w:ascii="宋体" w:hAnsi="宋体" w:eastAsia="宋体" w:cs="宋体"/>
          <w:color w:val="auto"/>
          <w:sz w:val="24"/>
          <w:highlight w:val="none"/>
          <w:lang w:eastAsia="zh-CN"/>
        </w:rPr>
        <w:t>甲方指定地点</w:t>
      </w:r>
      <w:r>
        <w:rPr>
          <w:rFonts w:hint="eastAsia" w:ascii="宋体" w:hAnsi="宋体" w:eastAsia="宋体" w:cs="宋体"/>
          <w:color w:val="auto"/>
          <w:sz w:val="24"/>
          <w:highlight w:val="none"/>
          <w:lang w:val="en-US" w:eastAsia="zh-CN"/>
        </w:rPr>
        <w:t>为准</w:t>
      </w:r>
      <w:r>
        <w:rPr>
          <w:rFonts w:hint="eastAsia" w:ascii="宋体" w:hAnsi="宋体" w:cs="宋体"/>
          <w:color w:val="auto"/>
          <w:sz w:val="24"/>
          <w:highlight w:val="none"/>
        </w:rPr>
        <w:t>。</w:t>
      </w:r>
    </w:p>
    <w:p w14:paraId="0938C9FE">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3"/>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color w:val="auto"/>
          <w:highlight w:val="none"/>
        </w:rPr>
        <w:t>2、</w:t>
      </w:r>
      <w:r>
        <w:rPr>
          <w:rStyle w:val="23"/>
          <w:rFonts w:hint="eastAsia" w:asciiTheme="minorEastAsia" w:hAnsiTheme="minorEastAsia" w:eastAsiaTheme="minorEastAsia" w:cstheme="minorEastAsia"/>
          <w:color w:val="auto"/>
          <w:highlight w:val="none"/>
          <w:lang w:val="en-US" w:eastAsia="zh-CN"/>
        </w:rPr>
        <w:t>交货时间</w:t>
      </w:r>
      <w:r>
        <w:rPr>
          <w:rStyle w:val="23"/>
          <w:rFonts w:hint="eastAsia" w:asciiTheme="minorEastAsia" w:hAnsiTheme="minorEastAsia" w:eastAsiaTheme="minorEastAsia" w:cstheme="minorEastAsia"/>
          <w:color w:val="auto"/>
          <w:highlight w:val="none"/>
        </w:rPr>
        <w:t>：</w:t>
      </w:r>
      <w:r>
        <w:rPr>
          <w:rFonts w:hint="eastAsia" w:ascii="宋体" w:hAnsi="宋体" w:eastAsia="宋体" w:cs="宋体"/>
          <w:color w:val="auto"/>
          <w:kern w:val="2"/>
          <w:sz w:val="24"/>
          <w:szCs w:val="24"/>
          <w:highlight w:val="none"/>
          <w:lang w:val="en-US" w:eastAsia="zh-CN" w:bidi="ar-SA"/>
        </w:rPr>
        <w:t>合同签订后25个工</w:t>
      </w:r>
      <w:r>
        <w:rPr>
          <w:rStyle w:val="23"/>
          <w:rFonts w:hint="eastAsia" w:ascii="宋体" w:hAnsi="宋体" w:cs="宋体"/>
          <w:b w:val="0"/>
          <w:bCs/>
          <w:color w:val="auto"/>
          <w:kern w:val="0"/>
          <w:sz w:val="24"/>
          <w:highlight w:val="none"/>
        </w:rPr>
        <w:t>作日内供货并安装调试完成</w:t>
      </w:r>
      <w:r>
        <w:rPr>
          <w:rFonts w:hint="eastAsia" w:asciiTheme="minorEastAsia" w:hAnsiTheme="minorEastAsia" w:eastAsiaTheme="minorEastAsia" w:cstheme="minorEastAsia"/>
          <w:b w:val="0"/>
          <w:bCs w:val="0"/>
          <w:color w:val="auto"/>
          <w:highlight w:val="none"/>
        </w:rPr>
        <w:t>。</w:t>
      </w:r>
    </w:p>
    <w:p w14:paraId="7A40722A">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3"/>
          <w:rFonts w:hint="eastAsia" w:asciiTheme="minorEastAsia" w:hAnsiTheme="minorEastAsia" w:eastAsiaTheme="minorEastAsia" w:cstheme="minorEastAsia"/>
          <w:b w:val="0"/>
          <w:bCs w:val="0"/>
          <w:color w:val="auto"/>
          <w:highlight w:val="none"/>
        </w:rPr>
      </w:pPr>
      <w:r>
        <w:rPr>
          <w:rStyle w:val="23"/>
          <w:rFonts w:hint="eastAsia" w:asciiTheme="minorEastAsia" w:hAnsiTheme="minorEastAsia" w:eastAsiaTheme="minorEastAsia" w:cstheme="minorEastAsia"/>
          <w:color w:val="auto"/>
          <w:highlight w:val="none"/>
        </w:rPr>
        <w:t>3、交货条件：</w:t>
      </w:r>
      <w:r>
        <w:rPr>
          <w:rStyle w:val="23"/>
          <w:rFonts w:hint="eastAsia" w:ascii="宋体" w:hAnsi="宋体" w:cs="宋体"/>
          <w:b w:val="0"/>
          <w:bCs/>
          <w:color w:val="auto"/>
          <w:kern w:val="0"/>
          <w:sz w:val="24"/>
          <w:highlight w:val="none"/>
        </w:rPr>
        <w:t>货物应按生产厂家的产品出厂检验标准、</w:t>
      </w:r>
      <w:r>
        <w:rPr>
          <w:rStyle w:val="23"/>
          <w:rFonts w:hint="eastAsia" w:cs="宋体"/>
          <w:b w:val="0"/>
          <w:bCs/>
          <w:color w:val="auto"/>
          <w:kern w:val="0"/>
          <w:sz w:val="24"/>
          <w:highlight w:val="none"/>
          <w:lang w:eastAsia="zh-CN"/>
        </w:rPr>
        <w:t>竞价</w:t>
      </w:r>
      <w:r>
        <w:rPr>
          <w:rStyle w:val="23"/>
          <w:rFonts w:hint="eastAsia" w:ascii="宋体" w:hAnsi="宋体" w:cs="宋体"/>
          <w:b w:val="0"/>
          <w:bCs/>
          <w:color w:val="auto"/>
          <w:kern w:val="0"/>
          <w:sz w:val="24"/>
          <w:highlight w:val="none"/>
        </w:rPr>
        <w:t>文件、响应文件以及国家和行业验收规范要求及合同中的相关条款进行数量及质量的验收。收货过程中，如发现破损、变形、运行不正常等问题，</w:t>
      </w:r>
      <w:r>
        <w:rPr>
          <w:rStyle w:val="23"/>
          <w:rFonts w:hint="eastAsia" w:ascii="宋体" w:hAnsi="宋体" w:cs="宋体"/>
          <w:b w:val="0"/>
          <w:bCs/>
          <w:color w:val="auto"/>
          <w:kern w:val="0"/>
          <w:sz w:val="24"/>
          <w:highlight w:val="none"/>
          <w:lang w:eastAsia="zh-CN"/>
        </w:rPr>
        <w:t>甲方</w:t>
      </w:r>
      <w:r>
        <w:rPr>
          <w:rStyle w:val="23"/>
          <w:rFonts w:hint="eastAsia" w:ascii="宋体" w:hAnsi="宋体" w:cs="宋体"/>
          <w:b w:val="0"/>
          <w:bCs/>
          <w:color w:val="auto"/>
          <w:kern w:val="0"/>
          <w:sz w:val="24"/>
          <w:highlight w:val="none"/>
        </w:rPr>
        <w:t>有权拒收并要求换货</w:t>
      </w:r>
      <w:r>
        <w:rPr>
          <w:rStyle w:val="23"/>
          <w:rFonts w:hint="eastAsia" w:asciiTheme="minorEastAsia" w:hAnsiTheme="minorEastAsia" w:eastAsiaTheme="minorEastAsia" w:cstheme="minorEastAsia"/>
          <w:color w:val="auto"/>
          <w:highlight w:val="none"/>
        </w:rPr>
        <w:t>。</w:t>
      </w:r>
    </w:p>
    <w:p w14:paraId="594C41A8">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color w:val="auto"/>
          <w:szCs w:val="21"/>
          <w:highlight w:val="none"/>
          <w:lang w:val="en-US" w:eastAsia="zh-CN"/>
        </w:rPr>
      </w:pPr>
      <w:r>
        <w:rPr>
          <w:rStyle w:val="23"/>
          <w:rFonts w:hint="eastAsia" w:asciiTheme="minorEastAsia" w:hAnsiTheme="minorEastAsia" w:eastAsiaTheme="minorEastAsia" w:cstheme="minorEastAsia"/>
          <w:color w:val="auto"/>
          <w:highlight w:val="none"/>
        </w:rPr>
        <w:t>4、履约保证金</w:t>
      </w:r>
      <w:r>
        <w:rPr>
          <w:rStyle w:val="23"/>
          <w:rFonts w:hint="eastAsia" w:asciiTheme="minorEastAsia" w:hAnsiTheme="minorEastAsia" w:eastAsiaTheme="minorEastAsia" w:cstheme="minorEastAsia"/>
          <w:color w:val="auto"/>
          <w:highlight w:val="none"/>
          <w:lang w:val="en-US" w:eastAsia="zh-CN"/>
        </w:rPr>
        <w:t>:</w:t>
      </w:r>
    </w:p>
    <w:p w14:paraId="24703330">
      <w:pPr>
        <w:keepNext w:val="0"/>
        <w:keepLines w:val="0"/>
        <w:pageBreakBefore w:val="0"/>
        <w:kinsoku/>
        <w:overflowPunct/>
        <w:topLinePunct w:val="0"/>
        <w:bidi w:val="0"/>
        <w:adjustRightInd/>
        <w:snapToGrid/>
        <w:spacing w:beforeAutospacing="0" w:afterAutospacing="0" w:line="360" w:lineRule="auto"/>
        <w:ind w:firstLine="480" w:firstLineChars="200"/>
        <w:jc w:val="both"/>
        <w:textAlignment w:val="auto"/>
        <w:rPr>
          <w:rFonts w:hint="eastAsia" w:eastAsia="宋体" w:asciiTheme="minorEastAsia" w:hAnsi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rPr>
        <w:t>履约保证金百分比：</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合同金额的5 %。说明：乙方在签订合同前以银行转账或无条件银行保函的形式向甲方缴纳合同总金额5%作为履约保证金。</w:t>
      </w:r>
      <w:r>
        <w:rPr>
          <w:rStyle w:val="23"/>
          <w:rFonts w:hint="eastAsia" w:ascii="宋体" w:hAnsi="宋体" w:cs="宋体"/>
          <w:b w:val="0"/>
          <w:bCs/>
          <w:color w:val="auto"/>
          <w:kern w:val="0"/>
          <w:sz w:val="24"/>
          <w:highlight w:val="none"/>
        </w:rPr>
        <w:t>履约保证金在合同约定全部事项（含3年售后维保期）履行完毕，经</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甲方</w:t>
      </w:r>
      <w:r>
        <w:rPr>
          <w:rStyle w:val="23"/>
          <w:rFonts w:hint="eastAsia" w:ascii="宋体" w:hAnsi="宋体" w:cs="宋体"/>
          <w:b w:val="0"/>
          <w:bCs/>
          <w:color w:val="auto"/>
          <w:kern w:val="0"/>
          <w:sz w:val="24"/>
          <w:highlight w:val="none"/>
        </w:rPr>
        <w:t>确认双方无未了事项后，</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甲方</w:t>
      </w:r>
      <w:r>
        <w:rPr>
          <w:rStyle w:val="23"/>
          <w:rFonts w:hint="eastAsia" w:ascii="宋体" w:hAnsi="宋体" w:cs="宋体"/>
          <w:b w:val="0"/>
          <w:bCs/>
          <w:color w:val="auto"/>
          <w:kern w:val="0"/>
          <w:sz w:val="24"/>
          <w:highlight w:val="none"/>
        </w:rPr>
        <w:t>在收到</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乙方</w:t>
      </w:r>
      <w:r>
        <w:rPr>
          <w:rStyle w:val="23"/>
          <w:rFonts w:hint="eastAsia" w:ascii="宋体" w:hAnsi="宋体" w:cs="宋体"/>
          <w:b w:val="0"/>
          <w:bCs/>
          <w:color w:val="auto"/>
          <w:kern w:val="0"/>
          <w:sz w:val="24"/>
          <w:highlight w:val="none"/>
        </w:rPr>
        <w:t>书面申请30日内无息退还</w:t>
      </w:r>
      <w:r>
        <w:rPr>
          <w:rStyle w:val="23"/>
          <w:rFonts w:hint="eastAsia" w:ascii="宋体" w:hAnsi="宋体" w:cs="宋体"/>
          <w:b w:val="0"/>
          <w:bCs/>
          <w:color w:val="auto"/>
          <w:kern w:val="0"/>
          <w:sz w:val="24"/>
          <w:highlight w:val="none"/>
          <w:lang w:eastAsia="zh-CN"/>
        </w:rPr>
        <w:t>。</w:t>
      </w:r>
    </w:p>
    <w:p w14:paraId="38E805C4">
      <w:pPr>
        <w:keepNext w:val="0"/>
        <w:keepLines w:val="0"/>
        <w:pageBreakBefore w:val="0"/>
        <w:numPr>
          <w:ilvl w:val="0"/>
          <w:numId w:val="0"/>
        </w:numPr>
        <w:kinsoku/>
        <w:wordWrap w:val="0"/>
        <w:overflowPunct/>
        <w:topLinePunct w:val="0"/>
        <w:autoSpaceDE w:val="0"/>
        <w:autoSpaceDN w:val="0"/>
        <w:bidi w:val="0"/>
        <w:adjustRightInd/>
        <w:snapToGrid/>
        <w:spacing w:beforeAutospacing="0" w:afterAutospacing="0" w:line="360" w:lineRule="auto"/>
        <w:jc w:val="both"/>
        <w:textAlignment w:val="auto"/>
        <w:rPr>
          <w:rStyle w:val="23"/>
          <w:rFonts w:hint="eastAsia" w:eastAsia="宋体" w:asciiTheme="minorEastAsia" w:hAnsiTheme="minorEastAsia" w:cstheme="minorEastAsia"/>
          <w:b w:val="0"/>
          <w:bCs w:val="0"/>
          <w:color w:val="auto"/>
          <w:kern w:val="0"/>
          <w:sz w:val="24"/>
          <w:highlight w:val="none"/>
          <w:lang w:val="en-US" w:eastAsia="zh-CN"/>
        </w:rPr>
      </w:pPr>
      <w:r>
        <w:rPr>
          <w:rStyle w:val="23"/>
          <w:rFonts w:hint="eastAsia" w:asciiTheme="minorEastAsia" w:hAnsiTheme="minorEastAsia" w:eastAsiaTheme="minorEastAsia" w:cstheme="minorEastAsia"/>
          <w:color w:val="auto"/>
          <w:kern w:val="0"/>
          <w:sz w:val="24"/>
          <w:highlight w:val="none"/>
          <w:lang w:val="en-US" w:eastAsia="zh-CN"/>
        </w:rPr>
        <w:t>5、</w:t>
      </w:r>
      <w:r>
        <w:rPr>
          <w:rStyle w:val="23"/>
          <w:rFonts w:hint="eastAsia" w:asciiTheme="minorEastAsia" w:hAnsiTheme="minorEastAsia" w:eastAsiaTheme="minorEastAsia" w:cstheme="minorEastAsia"/>
          <w:color w:val="auto"/>
          <w:kern w:val="0"/>
          <w:sz w:val="24"/>
          <w:highlight w:val="none"/>
        </w:rPr>
        <w:t>合同支付方式</w:t>
      </w:r>
      <w:r>
        <w:rPr>
          <w:rStyle w:val="23"/>
          <w:rFonts w:hint="eastAsia" w:asciiTheme="minorEastAsia" w:hAnsiTheme="minorEastAsia" w:eastAsiaTheme="minorEastAsia" w:cstheme="minorEastAsia"/>
          <w:color w:val="auto"/>
          <w:kern w:val="0"/>
          <w:sz w:val="24"/>
          <w:highlight w:val="none"/>
          <w:lang w:eastAsia="zh-CN"/>
        </w:rPr>
        <w:t>：</w:t>
      </w:r>
      <w:r>
        <w:rPr>
          <w:rFonts w:hint="eastAsia" w:ascii="宋体" w:hAnsi="宋体" w:cs="宋体"/>
          <w:color w:val="auto"/>
          <w:sz w:val="24"/>
          <w:highlight w:val="none"/>
        </w:rPr>
        <w:t>货到安装调试并经</w:t>
      </w:r>
      <w:r>
        <w:rPr>
          <w:rStyle w:val="23"/>
          <w:rFonts w:hint="eastAsia" w:asciiTheme="minorEastAsia" w:hAnsiTheme="minorEastAsia" w:eastAsiaTheme="minorEastAsia" w:cstheme="minorEastAsia"/>
          <w:b w:val="0"/>
          <w:bCs w:val="0"/>
          <w:color w:val="auto"/>
          <w:kern w:val="0"/>
          <w:sz w:val="24"/>
          <w:highlight w:val="none"/>
          <w:lang w:val="en-US" w:eastAsia="zh-CN"/>
        </w:rPr>
        <w:t>甲方</w:t>
      </w:r>
      <w:r>
        <w:rPr>
          <w:rFonts w:hint="eastAsia" w:ascii="宋体" w:hAnsi="宋体" w:cs="宋体"/>
          <w:color w:val="auto"/>
          <w:sz w:val="24"/>
          <w:highlight w:val="none"/>
        </w:rPr>
        <w:t>验收合格后，由</w:t>
      </w:r>
      <w:r>
        <w:rPr>
          <w:rStyle w:val="23"/>
          <w:rFonts w:hint="eastAsia" w:asciiTheme="minorEastAsia" w:hAnsiTheme="minorEastAsia" w:eastAsiaTheme="minorEastAsia" w:cstheme="minorEastAsia"/>
          <w:b w:val="0"/>
          <w:bCs w:val="0"/>
          <w:color w:val="auto"/>
          <w:kern w:val="0"/>
          <w:sz w:val="24"/>
          <w:highlight w:val="none"/>
          <w:lang w:eastAsia="zh-CN"/>
        </w:rPr>
        <w:t>乙方</w:t>
      </w:r>
      <w:r>
        <w:rPr>
          <w:rFonts w:hint="eastAsia" w:ascii="宋体" w:hAnsi="宋体" w:cs="宋体"/>
          <w:color w:val="auto"/>
          <w:sz w:val="24"/>
          <w:highlight w:val="none"/>
        </w:rPr>
        <w:t>开具税务发票，</w:t>
      </w:r>
      <w:r>
        <w:rPr>
          <w:rStyle w:val="23"/>
          <w:rFonts w:hint="eastAsia" w:asciiTheme="minorEastAsia" w:hAnsiTheme="minorEastAsia" w:eastAsiaTheme="minorEastAsia" w:cstheme="minorEastAsia"/>
          <w:b w:val="0"/>
          <w:bCs w:val="0"/>
          <w:color w:val="auto"/>
          <w:kern w:val="0"/>
          <w:sz w:val="24"/>
          <w:highlight w:val="none"/>
          <w:lang w:val="en-US" w:eastAsia="zh-CN"/>
        </w:rPr>
        <w:t>甲方</w:t>
      </w:r>
      <w:r>
        <w:rPr>
          <w:rFonts w:hint="eastAsia" w:ascii="宋体" w:hAnsi="宋体" w:cs="宋体"/>
          <w:color w:val="auto"/>
          <w:sz w:val="24"/>
          <w:highlight w:val="none"/>
        </w:rPr>
        <w:t>收到发票一个月内以转账方式支付100%合同款项</w:t>
      </w:r>
      <w:r>
        <w:rPr>
          <w:rFonts w:hint="eastAsia" w:ascii="宋体" w:hAnsi="宋体" w:cs="宋体"/>
          <w:color w:val="auto"/>
          <w:sz w:val="24"/>
          <w:highlight w:val="none"/>
          <w:lang w:eastAsia="zh-CN"/>
        </w:rPr>
        <w:t>。</w:t>
      </w:r>
    </w:p>
    <w:p w14:paraId="3C1068F1">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乙方提供的报价总价</w:t>
      </w:r>
      <w:r>
        <w:rPr>
          <w:rFonts w:hint="eastAsia" w:asciiTheme="minorEastAsia" w:hAnsiTheme="minorEastAsia" w:eastAsiaTheme="minorEastAsia" w:cstheme="minorEastAsia"/>
          <w:color w:val="auto"/>
          <w:sz w:val="24"/>
          <w:szCs w:val="24"/>
          <w:highlight w:val="none"/>
        </w:rPr>
        <w:t>须包含</w:t>
      </w:r>
      <w:r>
        <w:rPr>
          <w:rFonts w:hint="eastAsia" w:ascii="宋体" w:hAnsi="宋体" w:eastAsia="宋体" w:cs="宋体"/>
          <w:bCs/>
          <w:color w:val="auto"/>
          <w:kern w:val="2"/>
          <w:sz w:val="24"/>
          <w:szCs w:val="24"/>
          <w:highlight w:val="none"/>
          <w:lang w:val="en-US" w:eastAsia="zh-CN" w:bidi="ar-SA"/>
        </w:rPr>
        <w:t>但不限于所需人工、设备成本、施工机械（器械）使用费、材料费、生产费、运输费、安全措施费、安装费、开路埋管施工费、配套器件（含线路）费、因安装工作不连续而造成的窝工费、调试费、培训费、3年售后维保服务费、税金及合同明示或暗示的风险责任和义务等一切与本项目相关的所有费用，</w:t>
      </w:r>
      <w:r>
        <w:rPr>
          <w:rFonts w:hint="eastAsia" w:asciiTheme="minorEastAsia" w:hAnsiTheme="minorEastAsia" w:eastAsiaTheme="minorEastAsia" w:cstheme="minorEastAsia"/>
          <w:color w:val="auto"/>
          <w:sz w:val="24"/>
          <w:szCs w:val="24"/>
          <w:highlight w:val="none"/>
          <w:lang w:eastAsia="zh-CN"/>
        </w:rPr>
        <w:t>甲方</w:t>
      </w:r>
      <w:r>
        <w:rPr>
          <w:rFonts w:hint="eastAsia" w:ascii="宋体" w:hAnsi="宋体" w:eastAsia="宋体" w:cs="宋体"/>
          <w:bCs/>
          <w:color w:val="auto"/>
          <w:kern w:val="2"/>
          <w:sz w:val="24"/>
          <w:szCs w:val="24"/>
          <w:highlight w:val="none"/>
          <w:lang w:val="en-US" w:eastAsia="zh-CN" w:bidi="ar-SA"/>
        </w:rPr>
        <w:t>不再支付其他费用</w:t>
      </w:r>
      <w:r>
        <w:rPr>
          <w:rFonts w:ascii="宋体" w:hAnsi="宋体" w:cs="宋体"/>
          <w:color w:val="auto"/>
          <w:sz w:val="24"/>
          <w:highlight w:val="none"/>
        </w:rPr>
        <w:t>。</w:t>
      </w:r>
    </w:p>
    <w:p w14:paraId="6AE5467B">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验收</w:t>
      </w:r>
    </w:p>
    <w:p w14:paraId="1D14FB16">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Hans"/>
        </w:rPr>
        <w:t>验收标准：根据</w:t>
      </w:r>
      <w:r>
        <w:rPr>
          <w:rFonts w:hint="eastAsia" w:asciiTheme="minorEastAsia" w:hAnsiTheme="minorEastAsia" w:eastAsiaTheme="minorEastAsia" w:cstheme="minorEastAsia"/>
          <w:color w:val="auto"/>
          <w:kern w:val="0"/>
          <w:sz w:val="24"/>
          <w:szCs w:val="24"/>
          <w:highlight w:val="none"/>
          <w:lang w:val="en-US" w:eastAsia="zh-CN"/>
        </w:rPr>
        <w:t>竞价</w:t>
      </w:r>
      <w:r>
        <w:rPr>
          <w:rFonts w:hint="eastAsia" w:asciiTheme="minorEastAsia" w:hAnsiTheme="minorEastAsia" w:eastAsiaTheme="minorEastAsia" w:cstheme="minorEastAsia"/>
          <w:color w:val="auto"/>
          <w:kern w:val="0"/>
          <w:sz w:val="24"/>
          <w:szCs w:val="24"/>
          <w:highlight w:val="none"/>
          <w:lang w:val="en-US" w:eastAsia="zh-Hans"/>
        </w:rPr>
        <w:t>文件、</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lang w:val="en-US" w:eastAsia="zh-Hans"/>
        </w:rPr>
        <w:t>文件、承诺及有关国家、行业规定进行验收。</w:t>
      </w:r>
    </w:p>
    <w:p w14:paraId="19276A2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lang w:val="en-US" w:eastAsia="zh-Hans"/>
        </w:rPr>
        <w:t>根据采购</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lang w:val="en-US" w:eastAsia="zh-Hans"/>
        </w:rPr>
        <w:t>要求进行产品安装、调试、测试、试运行后，由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lang w:val="en-US" w:eastAsia="zh-Hans"/>
        </w:rPr>
        <w:t>或</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lang w:val="en-US" w:eastAsia="zh-Hans"/>
        </w:rPr>
        <w:t>聘请技术专家检测作为验收标准依据并组织进行使用性能方面的验收，所需检测费用包含在</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价中。</w:t>
      </w:r>
    </w:p>
    <w:p w14:paraId="6CC2984D">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Hans"/>
        </w:rPr>
        <w:t>验收时</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lang w:val="en-US" w:eastAsia="zh-Hans"/>
        </w:rPr>
        <w:t>必须在场，并提供产品合格证、质量保证文件等相关证明材料；</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lang w:val="en-US" w:eastAsia="zh-Hans"/>
        </w:rPr>
        <w:t>拒不在场的，以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lang w:val="en-US" w:eastAsia="zh-Hans"/>
        </w:rPr>
        <w:t>验收的结果为准。</w:t>
      </w:r>
    </w:p>
    <w:p w14:paraId="10D00BD9">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售后服务</w:t>
      </w:r>
    </w:p>
    <w:p w14:paraId="0D10D754">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售后维保期3年；维保期内，维修响应时间为2小时内到达现场处理，48小时内完成问题处理，每季度上门对系统设备进行专业保养及维护，以及软件升级。</w:t>
      </w:r>
    </w:p>
    <w:p w14:paraId="2160B2D5">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违约责任</w:t>
      </w:r>
    </w:p>
    <w:p w14:paraId="5121C84D">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zh-CN" w:eastAsia="zh-CN"/>
        </w:rPr>
        <w:t>所供货物品种、型号等技术质量参数不符合竞价文件要求及</w:t>
      </w:r>
      <w:r>
        <w:rPr>
          <w:rFonts w:ascii="宋体" w:hAnsi="宋体" w:cs="宋体"/>
          <w:bCs/>
          <w:color w:val="auto"/>
          <w:kern w:val="2"/>
          <w:sz w:val="24"/>
          <w:highlight w:val="none"/>
          <w:lang w:val="zh-CN" w:eastAsia="zh-CN"/>
        </w:rPr>
        <w:t>投报承诺</w:t>
      </w:r>
      <w:r>
        <w:rPr>
          <w:rFonts w:hint="eastAsia" w:asciiTheme="minorEastAsia" w:hAnsiTheme="minorEastAsia" w:eastAsiaTheme="minorEastAsia" w:cstheme="minorEastAsia"/>
          <w:color w:val="auto"/>
          <w:sz w:val="24"/>
          <w:szCs w:val="24"/>
          <w:highlight w:val="none"/>
          <w:lang w:val="zh-CN" w:eastAsia="zh-CN"/>
        </w:rPr>
        <w:t>的，甲方有权要求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zh-CN" w:eastAsia="zh-CN"/>
        </w:rPr>
        <w:t>限期整改，</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zh-CN" w:eastAsia="zh-CN"/>
        </w:rPr>
        <w:t>未限期整改的，甲方有权要求乙方支付合同金额20%的违约金，该违约金从甲方应付货款里相应抵扣；逾期整改超过10日的，乙方除了应支付合同金额20%的违约金外，甲方有权拒收，并终止合同，没收履约保证金，造成甲方经济损失的，乙方应予赔偿。对于乙方已安装部分，甲方有权要求乙方限期拆除并视情对已拆除或更改软硬件予以恢复，逾期拆除或恢复的，甲方有权自行或聘请他人拆除或恢复，相关费用全部由乙方承担。</w:t>
      </w:r>
    </w:p>
    <w:p w14:paraId="596DFB13">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乙方不能如期交付并完成安装调试货物的，除经甲方视情同意延期外，每逾期一日，乙方应按合同金额的2%赔偿给甲方经济损失；逾期超过10日的，甲方除了有权要求乙方应按合同金额的2%赔偿给甲方经济损失外，还有权有权拒收，并终止合同，没收履约保证金,造成甲方经济损失的，乙方应予赔偿。对于乙方已安装部分，甲方有权要求乙方限期拆除并视情对已拆除或更改软硬件予以恢复，逾期拆除或恢复的，甲方有权自行或聘请他人拆除或恢复，相关费用全部由乙方承担。</w:t>
      </w:r>
    </w:p>
    <w:p w14:paraId="11C40044">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）乙方除存在本条款第</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项、第</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项情形并承担相应责任外，乙方在售后维保期内未履行或未完全履行本竞价文件其他要求的，每违约一次应向甲方支付违约金1000元，若因此给甲方造成损失的，乙方还应赔偿甲方所受的损失；累计超过三次的，同时扣除全部履约保证金。</w:t>
      </w:r>
    </w:p>
    <w:p w14:paraId="53CC637C">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在合作期间，乙方必须遵守甲方的各项规章制度，如有进出监区的必须提供合法证件，乙方运送物资进入甲方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甲方有权终止合同并没收履约保证金；若触犯法律移送司法机关处理。</w:t>
      </w:r>
    </w:p>
    <w:p w14:paraId="73FE28A0">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）乙方不得给予甲方工作人员或其他相关人员任何形式不正当利益，在</w:t>
      </w:r>
      <w:r>
        <w:rPr>
          <w:rFonts w:hint="eastAsia" w:asciiTheme="minorEastAsia" w:hAnsiTheme="minorEastAsia" w:eastAsiaTheme="minorEastAsia" w:cstheme="minorEastAsia"/>
          <w:color w:val="auto"/>
          <w:sz w:val="24"/>
          <w:szCs w:val="24"/>
          <w:highlight w:val="none"/>
          <w:lang w:val="en-US" w:eastAsia="zh-CN"/>
        </w:rPr>
        <w:t>竞价过程</w:t>
      </w:r>
      <w:r>
        <w:rPr>
          <w:rFonts w:hint="eastAsia" w:asciiTheme="minorEastAsia" w:hAnsiTheme="minorEastAsia" w:eastAsiaTheme="minorEastAsia" w:cstheme="minorEastAsia"/>
          <w:color w:val="auto"/>
          <w:sz w:val="24"/>
          <w:szCs w:val="24"/>
          <w:highlight w:val="none"/>
          <w:lang w:val="zh-CN" w:eastAsia="zh-CN"/>
        </w:rPr>
        <w:t>、合同履行过程中，发现乙方以违规方式成交的，或乙方有行贿等违法行为，一经发现的,甲方将视情予以取消成交资格,没收竞价保证金，或终止合同并没收履约保证金,并列入不诚信黑名单，</w:t>
      </w:r>
      <w:r>
        <w:rPr>
          <w:rFonts w:hint="eastAsia" w:asciiTheme="minorEastAsia" w:hAnsiTheme="minorEastAsia" w:eastAsiaTheme="minorEastAsia" w:cstheme="minorEastAsia"/>
          <w:color w:val="auto"/>
          <w:sz w:val="24"/>
          <w:szCs w:val="24"/>
          <w:highlight w:val="none"/>
          <w:lang w:val="zh-CN" w:eastAsia="zh-CN"/>
        </w:rPr>
        <w:t>今后不得参与甲方所有项目</w:t>
      </w:r>
      <w:r>
        <w:rPr>
          <w:rFonts w:ascii="宋体" w:hAnsi="宋体" w:eastAsia="宋体" w:cs="宋体"/>
          <w:color w:val="auto"/>
          <w:sz w:val="24"/>
          <w:szCs w:val="24"/>
          <w:highlight w:val="none"/>
        </w:rPr>
        <w:t>；</w:t>
      </w:r>
    </w:p>
    <w:p w14:paraId="79D1BD4F">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乙方要认真遵守国家保密法律、法规和甲方相关规章制度，履行保密、保守义务；其进入甲方工作区域的工作人员需签订《保密承诺书》，严格履行保密义务，所获得的甲方所有信息（包括并不限于工作信息）应严格保守，未经甲方允许不得违规记录、存储、复制国家秘密信息，不以任何方式泄露所接触和知悉的国家秘密和甲方相关信息，严禁将甲方工作文件等内部资料泄露出去，甲方根据乙方存在的前述违约行为（包括故意或过失）或因前述违约行为（包括故意或过失）造成甲方相关后果等实际情况，除了有权要求乙方承担相应法律责任外，还有权要求乙方偿付合同货款20%的违约金；造成甲方损失的，乙方还应予以赔偿。本条款不因合同届满或解除而失效。</w:t>
      </w:r>
    </w:p>
    <w:p w14:paraId="66943407">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eastAsia="zh-CN"/>
        </w:rPr>
        <w:t>）上述违约责任内容与本合同中其他约定有冲突的，违约责任按就高不就低原则处理。</w:t>
      </w:r>
    </w:p>
    <w:p w14:paraId="372278AF">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不可抗力</w:t>
      </w:r>
    </w:p>
    <w:p w14:paraId="0B46539F">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ascii="宋体" w:hAnsi="宋体" w:cs="宋体"/>
          <w:bCs/>
          <w:color w:val="auto"/>
          <w:kern w:val="2"/>
          <w:sz w:val="24"/>
          <w:highlight w:val="none"/>
          <w:lang w:val="zh-CN" w:eastAsia="zh-CN"/>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r>
        <w:rPr>
          <w:rFonts w:hint="eastAsia" w:asciiTheme="minorEastAsia" w:hAnsiTheme="minorEastAsia" w:eastAsiaTheme="minorEastAsia" w:cstheme="minorEastAsia"/>
          <w:color w:val="auto"/>
          <w:sz w:val="24"/>
          <w:szCs w:val="24"/>
          <w:highlight w:val="none"/>
        </w:rPr>
        <w:t>。</w:t>
      </w:r>
    </w:p>
    <w:p w14:paraId="479A6B6A">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ascii="宋体" w:hAnsi="宋体" w:cs="宋体"/>
          <w:bCs/>
          <w:color w:val="auto"/>
          <w:kern w:val="2"/>
          <w:sz w:val="24"/>
          <w:highlight w:val="none"/>
          <w:lang w:val="zh-CN" w:eastAsia="zh-CN"/>
        </w:rPr>
        <w:t>本合同中的不可抗力指不能预见、不能避免、不能克服的客观情况，包括但不限于：自然灾害如地震、台风、洪水、火灾及政府行为、法律规定或其适用的变化或其他任何无法预见、避免或控制的事件</w:t>
      </w:r>
      <w:r>
        <w:rPr>
          <w:rFonts w:hint="eastAsia" w:asciiTheme="minorEastAsia" w:hAnsiTheme="minorEastAsia" w:eastAsiaTheme="minorEastAsia" w:cstheme="minorEastAsia"/>
          <w:color w:val="auto"/>
          <w:sz w:val="24"/>
          <w:szCs w:val="24"/>
          <w:highlight w:val="none"/>
        </w:rPr>
        <w:t>。</w:t>
      </w:r>
    </w:p>
    <w:p w14:paraId="3A6A6FDF">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11、合同纠纷处理方式</w:t>
      </w:r>
    </w:p>
    <w:p w14:paraId="4EB39B87">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ascii="宋体" w:hAnsi="宋体" w:cs="宋体"/>
          <w:bCs/>
          <w:color w:val="auto"/>
          <w:kern w:val="2"/>
          <w:sz w:val="24"/>
          <w:highlight w:val="none"/>
          <w:lang w:eastAsia="zh-CN"/>
        </w:rPr>
        <w:t>若发生争议，由双方友好协商解决，或根据《中华人民共和国政府采购法》、《中华人民共和国合同法》及政府采购有关规定进行解决；通过前述途径仍无法解决的，可向</w:t>
      </w:r>
      <w:r>
        <w:rPr>
          <w:rFonts w:hint="eastAsia" w:ascii="宋体" w:hAnsi="宋体" w:cs="宋体"/>
          <w:bCs/>
          <w:color w:val="auto"/>
          <w:kern w:val="2"/>
          <w:sz w:val="24"/>
          <w:highlight w:val="none"/>
          <w:lang w:eastAsia="zh-CN"/>
        </w:rPr>
        <w:t>甲方</w:t>
      </w:r>
      <w:r>
        <w:rPr>
          <w:rFonts w:ascii="宋体" w:hAnsi="宋体" w:cs="宋体"/>
          <w:bCs/>
          <w:color w:val="auto"/>
          <w:kern w:val="2"/>
          <w:sz w:val="24"/>
          <w:highlight w:val="none"/>
          <w:lang w:eastAsia="zh-CN"/>
        </w:rPr>
        <w:t>所在地人民法院提请诉讼</w:t>
      </w:r>
      <w:r>
        <w:rPr>
          <w:rFonts w:hint="eastAsia" w:asciiTheme="minorEastAsia" w:hAnsiTheme="minorEastAsia" w:eastAsiaTheme="minorEastAsia" w:cstheme="minorEastAsia"/>
          <w:color w:val="auto"/>
          <w:sz w:val="24"/>
          <w:szCs w:val="24"/>
          <w:highlight w:val="none"/>
        </w:rPr>
        <w:t>。</w:t>
      </w:r>
    </w:p>
    <w:p w14:paraId="5FC2344B">
      <w:pPr>
        <w:pStyle w:val="2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其他事项</w:t>
      </w:r>
    </w:p>
    <w:p w14:paraId="37852790">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（1）除竞价文件另有规定外，若出现有关法律、法规和规章有强制性规定但竞价文件未列明的情形，则乙方应按照有关法律、法规和规章强制性规定执行。</w:t>
      </w:r>
    </w:p>
    <w:p w14:paraId="661792E5">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（2）本项目不允许乙方以任何名义和理由进行转包、分包，如有发现，</w:t>
      </w:r>
      <w:r>
        <w:rPr>
          <w:rFonts w:hint="eastAsia" w:ascii="宋体" w:hAnsi="宋体" w:cs="宋体"/>
          <w:bCs/>
          <w:color w:val="auto"/>
          <w:kern w:val="2"/>
          <w:sz w:val="24"/>
          <w:highlight w:val="none"/>
          <w:lang w:eastAsia="zh-CN"/>
        </w:rPr>
        <w:t>甲方</w:t>
      </w:r>
      <w:r>
        <w:rPr>
          <w:rFonts w:hint="eastAsia" w:asciiTheme="minorEastAsia" w:hAnsiTheme="minorEastAsia" w:eastAsiaTheme="minorEastAsia" w:cstheme="minorEastAsia"/>
          <w:bCs/>
          <w:color w:val="auto"/>
          <w:kern w:val="2"/>
          <w:sz w:val="24"/>
          <w:szCs w:val="24"/>
          <w:highlight w:val="none"/>
          <w:lang w:val="en-US" w:eastAsia="zh-CN"/>
        </w:rPr>
        <w:t>有权单方终止合同;乙方违约对</w:t>
      </w:r>
      <w:r>
        <w:rPr>
          <w:rFonts w:hint="eastAsia" w:ascii="宋体" w:hAnsi="宋体" w:cs="宋体"/>
          <w:bCs/>
          <w:color w:val="auto"/>
          <w:kern w:val="2"/>
          <w:sz w:val="24"/>
          <w:highlight w:val="none"/>
          <w:lang w:eastAsia="zh-CN"/>
        </w:rPr>
        <w:t>甲方</w:t>
      </w:r>
      <w:r>
        <w:rPr>
          <w:rFonts w:hint="eastAsia" w:asciiTheme="minorEastAsia" w:hAnsiTheme="minorEastAsia" w:eastAsiaTheme="minorEastAsia" w:cstheme="minorEastAsia"/>
          <w:bCs/>
          <w:color w:val="auto"/>
          <w:kern w:val="2"/>
          <w:sz w:val="24"/>
          <w:szCs w:val="24"/>
          <w:highlight w:val="none"/>
          <w:lang w:val="en-US" w:eastAsia="zh-CN"/>
        </w:rPr>
        <w:t>造成损失的，需另行支付相应的赔偿。</w:t>
      </w:r>
    </w:p>
    <w:p w14:paraId="5F6CBF45">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（3）因乙方未履行合同项下义务导致</w:t>
      </w:r>
      <w:r>
        <w:rPr>
          <w:rFonts w:hint="eastAsia" w:ascii="宋体" w:hAnsi="宋体" w:cs="宋体"/>
          <w:bCs/>
          <w:color w:val="auto"/>
          <w:kern w:val="2"/>
          <w:sz w:val="24"/>
          <w:highlight w:val="none"/>
          <w:lang w:eastAsia="zh-CN"/>
        </w:rPr>
        <w:t>甲方</w:t>
      </w:r>
      <w:r>
        <w:rPr>
          <w:rFonts w:hint="eastAsia" w:asciiTheme="minorEastAsia" w:hAnsiTheme="minorEastAsia" w:eastAsiaTheme="minorEastAsia" w:cstheme="minorEastAsia"/>
          <w:bCs/>
          <w:color w:val="auto"/>
          <w:kern w:val="2"/>
          <w:sz w:val="24"/>
          <w:szCs w:val="24"/>
          <w:highlight w:val="none"/>
          <w:lang w:val="en-US" w:eastAsia="zh-CN"/>
        </w:rPr>
        <w:t>所产生的一切损失（包括但不限于人身财产的损失、律师费、仲裁服务费、诉讼费、保全费、鉴定费等），均由乙方承担赔偿责任。</w:t>
      </w:r>
    </w:p>
    <w:p w14:paraId="79E26BE5">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（4）通知与送达：</w:t>
      </w:r>
    </w:p>
    <w:p w14:paraId="4CCA4C7A">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zh-CN" w:eastAsia="zh-CN"/>
        </w:rPr>
        <w:t>乙方</w:t>
      </w:r>
      <w:r>
        <w:rPr>
          <w:rFonts w:hint="eastAsia" w:asciiTheme="minorEastAsia" w:hAnsiTheme="minorEastAsia" w:eastAsiaTheme="minorEastAsia" w:cstheme="minorEastAsia"/>
          <w:bCs/>
          <w:color w:val="auto"/>
          <w:kern w:val="2"/>
          <w:sz w:val="24"/>
          <w:szCs w:val="24"/>
          <w:highlight w:val="none"/>
          <w:lang w:val="en-US" w:eastAsia="zh-CN"/>
        </w:rPr>
        <w:t>确认其送达地址为：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 xml:space="preserve"> ，联系人：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 xml:space="preserve"> ，联系电话：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 xml:space="preserve"> ，微信：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 xml:space="preserve"> ，邮箱：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 xml:space="preserve"> 。</w:t>
      </w:r>
    </w:p>
    <w:p w14:paraId="6DC24B90">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14:paraId="4AE1D15C">
      <w:pPr>
        <w:pStyle w:val="29"/>
        <w:keepNext w:val="0"/>
        <w:keepLines w:val="0"/>
        <w:pageBreakBefore w:val="0"/>
        <w:kinsoku/>
        <w:wordWrap/>
        <w:overflowPunct/>
        <w:topLinePunct w:val="0"/>
        <w:autoSpaceDE/>
        <w:autoSpaceDN/>
        <w:bidi w:val="0"/>
        <w:adjustRightInd/>
        <w:snapToGrid/>
        <w:spacing w:line="360" w:lineRule="auto"/>
        <w:ind w:firstLine="720" w:firstLineChars="3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14:paraId="177C5429">
      <w:pPr>
        <w:spacing w:line="360" w:lineRule="auto"/>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13</w:t>
      </w:r>
      <w:r>
        <w:rPr>
          <w:rFonts w:hint="eastAsia" w:ascii="宋体" w:hAnsi="宋体" w:cs="宋体"/>
          <w:color w:val="auto"/>
          <w:sz w:val="24"/>
          <w:highlight w:val="none"/>
          <w:lang w:val="en-US" w:eastAsia="zh-CN"/>
        </w:rPr>
        <w:t>、为保障乙方全面诚信参与采购项目和合同履约，乙方截止至本竞价公告发布之日起前三年内有下列情形之一的，不得参加本项目竞价，否则视为无效响应：</w:t>
      </w:r>
    </w:p>
    <w:p w14:paraId="6545E4CA">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（1）在参与甲方组织的采购项目中，存在相应采购项目出现不予退还竞价保证金情形的；</w:t>
      </w:r>
    </w:p>
    <w:p w14:paraId="1CDAD064">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（2）在参与甲方组织的同一个采购项目中，以同一事由或类似事由质疑（含投诉）两次均不成立后仍继续质疑（投诉）的；</w:t>
      </w:r>
    </w:p>
    <w:p w14:paraId="795B3109">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在履行甲方组织的采购合同过程中，因各种违约行为被甲方没收履约保证金，或扣罚违约金或索赔赔偿金总计在10000元或以上的。注：以上行为能确定时间的以确定时间计算，不能有效计算时间的以其项目采购公告发布时间计算。</w:t>
      </w:r>
    </w:p>
    <w:p w14:paraId="3DEB8F4A">
      <w:pPr>
        <w:spacing w:line="360" w:lineRule="auto"/>
        <w:rPr>
          <w:rFonts w:hint="eastAsia" w:ascii="宋体" w:hAnsi="宋体" w:cs="宋体"/>
          <w:color w:val="auto"/>
          <w:sz w:val="24"/>
          <w:highlight w:val="none"/>
          <w:lang w:val="en-US" w:eastAsia="zh-CN"/>
        </w:rPr>
      </w:pPr>
      <w:r>
        <w:rPr>
          <w:rFonts w:hint="eastAsia" w:ascii="宋体" w:hAnsi="宋体" w:eastAsia="宋体" w:cs="宋体"/>
          <w:b/>
          <w:bCs/>
          <w:color w:val="auto"/>
          <w:sz w:val="24"/>
          <w:highlight w:val="none"/>
          <w:lang w:val="en-US" w:eastAsia="zh-CN"/>
        </w:rPr>
        <w:t>14</w:t>
      </w:r>
      <w:r>
        <w:rPr>
          <w:rFonts w:hint="eastAsia" w:ascii="宋体" w:hAnsi="宋体" w:cs="宋体"/>
          <w:color w:val="auto"/>
          <w:sz w:val="24"/>
          <w:highlight w:val="none"/>
          <w:lang w:val="en-US" w:eastAsia="zh-CN"/>
        </w:rPr>
        <w:t>、在本项目竞价过程中，乙方有下列情形之一的，将自动被列入甲方（本条款所称甲方特指福建省闽西监狱和福建省闽西监狱，下同）自行采购项目（政府采购限额标准以下的采购项目）不良行为记录名单三年，从本项目结果公告之日起算，禁止其参与甲方自行采购项目。</w:t>
      </w:r>
    </w:p>
    <w:p w14:paraId="288CAE66">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（1）存在本竞价过程中不予退还竞价保证金情形的；</w:t>
      </w:r>
    </w:p>
    <w:p w14:paraId="1FE10829">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（2）存在本竞价过程中以同一事由或类似事由质疑（含投诉）两次均不成立后仍继续质疑（投诉）的；</w:t>
      </w:r>
    </w:p>
    <w:p w14:paraId="2148EB0A">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（3）存在本竞价过程中因各种违约行为被甲方没收履约保证金，或扣罚违约金或索赔赔偿金总计在10000元或以上的。</w:t>
      </w:r>
    </w:p>
    <w:p w14:paraId="53F93FF9">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、合同争议处理方式：</w:t>
      </w:r>
    </w:p>
    <w:p w14:paraId="1EC0BC19">
      <w:pPr>
        <w:spacing w:line="360" w:lineRule="auto"/>
        <w:rPr>
          <w:rFonts w:ascii="宋体" w:hAnsi="宋体" w:cs="宋体"/>
          <w:color w:val="auto"/>
          <w:sz w:val="24"/>
          <w:highlight w:val="none"/>
          <w:lang w:val="zh-TW"/>
        </w:rPr>
      </w:pPr>
      <w:r>
        <w:rPr>
          <w:rFonts w:hint="eastAsia" w:ascii="宋体" w:hAnsi="宋体" w:cs="宋体"/>
          <w:color w:val="auto"/>
          <w:sz w:val="24"/>
          <w:highlight w:val="none"/>
        </w:rPr>
        <w:t>1.甲方及乙方</w:t>
      </w:r>
      <w:r>
        <w:rPr>
          <w:rFonts w:hint="eastAsia" w:ascii="宋体" w:hAnsi="宋体" w:cs="宋体"/>
          <w:color w:val="auto"/>
          <w:sz w:val="24"/>
          <w:highlight w:val="none"/>
          <w:lang w:val="zh-TW"/>
        </w:rPr>
        <w:t>双方必须认真履行合同条款。因本合同或与本合同有关的一切事项发生争议，由双方友好协商解决，协商不成的，任何一方均可向甲方所在地</w:t>
      </w:r>
      <w:r>
        <w:rPr>
          <w:rFonts w:hint="eastAsia" w:asciiTheme="minorEastAsia" w:hAnsiTheme="minorEastAsia" w:eastAsiaTheme="minorEastAsia" w:cstheme="minorEastAsia"/>
          <w:color w:val="auto"/>
          <w:sz w:val="24"/>
          <w:szCs w:val="24"/>
          <w:highlight w:val="none"/>
        </w:rPr>
        <w:t>龙岩仲裁委员会</w:t>
      </w:r>
      <w:r>
        <w:rPr>
          <w:rFonts w:hint="eastAsia" w:ascii="宋体" w:hAnsi="宋体" w:cs="宋体"/>
          <w:color w:val="auto"/>
          <w:sz w:val="24"/>
          <w:highlight w:val="none"/>
          <w:lang w:val="zh-TW"/>
        </w:rPr>
        <w:t>提起诉讼。</w:t>
      </w:r>
    </w:p>
    <w:p w14:paraId="302D4E73">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TW"/>
        </w:rPr>
        <w:t>合同补充和修改：本合同生效后，双方对合同内容的变更或补充应采取书面形式，并经双方签字并盖章确认。</w:t>
      </w:r>
    </w:p>
    <w:p w14:paraId="39172C1F">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、其他约定：</w:t>
      </w:r>
    </w:p>
    <w:p w14:paraId="1393FD06">
      <w:pPr>
        <w:spacing w:line="360" w:lineRule="auto"/>
        <w:rPr>
          <w:rFonts w:ascii="宋体" w:hAnsi="宋体" w:cs="宋体"/>
          <w:color w:val="auto"/>
          <w:sz w:val="24"/>
          <w:highlight w:val="none"/>
        </w:rPr>
      </w:pPr>
      <w:r>
        <w:rPr>
          <w:rFonts w:hint="eastAsia" w:ascii="宋体" w:hAnsi="宋体" w:cs="宋体"/>
          <w:color w:val="auto"/>
          <w:sz w:val="24"/>
          <w:highlight w:val="none"/>
        </w:rPr>
        <w:t>本合同一式肆份，经双方授权代表签字并盖章后生效。甲方执叁份，乙方执壹份。</w:t>
      </w:r>
    </w:p>
    <w:p w14:paraId="56C064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1578EAB4">
      <w:pPr>
        <w:spacing w:line="360" w:lineRule="auto"/>
        <w:ind w:firstLine="480" w:firstLineChars="200"/>
        <w:rPr>
          <w:rFonts w:ascii="宋体" w:hAnsi="宋体" w:cs="宋体"/>
          <w:color w:val="auto"/>
          <w:sz w:val="24"/>
          <w:highlight w:val="none"/>
        </w:rPr>
      </w:pPr>
    </w:p>
    <w:p w14:paraId="2132937B">
      <w:pPr>
        <w:spacing w:line="360" w:lineRule="auto"/>
        <w:ind w:firstLine="480" w:firstLineChars="200"/>
        <w:rPr>
          <w:rFonts w:ascii="宋体" w:hAnsi="宋体" w:cs="宋体"/>
          <w:color w:val="auto"/>
          <w:sz w:val="24"/>
          <w:highlight w:val="none"/>
        </w:rPr>
      </w:pPr>
    </w:p>
    <w:p w14:paraId="58C3DD46">
      <w:pPr>
        <w:spacing w:line="360" w:lineRule="auto"/>
        <w:ind w:firstLine="480" w:firstLineChars="200"/>
        <w:rPr>
          <w:rFonts w:ascii="宋体" w:hAnsi="宋体" w:cs="宋体"/>
          <w:color w:val="auto"/>
          <w:sz w:val="24"/>
          <w:highlight w:val="none"/>
        </w:rPr>
      </w:pPr>
    </w:p>
    <w:tbl>
      <w:tblPr>
        <w:tblStyle w:val="20"/>
        <w:tblW w:w="0" w:type="auto"/>
        <w:tblInd w:w="0" w:type="dxa"/>
        <w:tblLayout w:type="fixed"/>
        <w:tblCellMar>
          <w:top w:w="0" w:type="dxa"/>
          <w:left w:w="108" w:type="dxa"/>
          <w:bottom w:w="0" w:type="dxa"/>
          <w:right w:w="108" w:type="dxa"/>
        </w:tblCellMar>
      </w:tblPr>
      <w:tblGrid>
        <w:gridCol w:w="1578"/>
        <w:gridCol w:w="2455"/>
        <w:gridCol w:w="1573"/>
        <w:gridCol w:w="3574"/>
      </w:tblGrid>
      <w:tr w14:paraId="6BD55485">
        <w:tblPrEx>
          <w:tblCellMar>
            <w:top w:w="0" w:type="dxa"/>
            <w:left w:w="108" w:type="dxa"/>
            <w:bottom w:w="0" w:type="dxa"/>
            <w:right w:w="108" w:type="dxa"/>
          </w:tblCellMar>
        </w:tblPrEx>
        <w:tc>
          <w:tcPr>
            <w:tcW w:w="1578" w:type="dxa"/>
          </w:tcPr>
          <w:p w14:paraId="3855D41C">
            <w:pPr>
              <w:spacing w:line="360" w:lineRule="auto"/>
              <w:rPr>
                <w:rFonts w:ascii="宋体" w:hAnsi="宋体" w:cs="宋体"/>
                <w:color w:val="auto"/>
                <w:sz w:val="24"/>
                <w:highlight w:val="none"/>
              </w:rPr>
            </w:pPr>
            <w:r>
              <w:rPr>
                <w:rFonts w:hint="eastAsia" w:ascii="宋体" w:hAnsi="宋体" w:cs="宋体"/>
                <w:color w:val="auto"/>
                <w:sz w:val="24"/>
                <w:highlight w:val="none"/>
              </w:rPr>
              <w:t>甲方（签章）：</w:t>
            </w:r>
          </w:p>
        </w:tc>
        <w:tc>
          <w:tcPr>
            <w:tcW w:w="2455" w:type="dxa"/>
          </w:tcPr>
          <w:p w14:paraId="16870F9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福建省闽西监狱</w:t>
            </w:r>
          </w:p>
        </w:tc>
        <w:tc>
          <w:tcPr>
            <w:tcW w:w="1573" w:type="dxa"/>
          </w:tcPr>
          <w:p w14:paraId="3F3FD4FA">
            <w:pPr>
              <w:spacing w:line="360" w:lineRule="auto"/>
              <w:rPr>
                <w:rFonts w:ascii="宋体" w:hAnsi="宋体" w:cs="宋体"/>
                <w:color w:val="auto"/>
                <w:sz w:val="24"/>
                <w:highlight w:val="none"/>
              </w:rPr>
            </w:pPr>
            <w:r>
              <w:rPr>
                <w:rFonts w:hint="eastAsia" w:ascii="宋体" w:hAnsi="宋体" w:cs="宋体"/>
                <w:color w:val="auto"/>
                <w:sz w:val="24"/>
                <w:highlight w:val="none"/>
              </w:rPr>
              <w:t>乙方（签章）：</w:t>
            </w:r>
          </w:p>
        </w:tc>
        <w:tc>
          <w:tcPr>
            <w:tcW w:w="3574" w:type="dxa"/>
          </w:tcPr>
          <w:p w14:paraId="0E6FF6B5">
            <w:pPr>
              <w:spacing w:line="360" w:lineRule="auto"/>
              <w:rPr>
                <w:rFonts w:ascii="宋体" w:hAnsi="宋体" w:cs="宋体"/>
                <w:color w:val="auto"/>
                <w:sz w:val="24"/>
                <w:highlight w:val="none"/>
              </w:rPr>
            </w:pPr>
          </w:p>
        </w:tc>
      </w:tr>
      <w:tr w14:paraId="046FD45C">
        <w:tblPrEx>
          <w:tblCellMar>
            <w:top w:w="0" w:type="dxa"/>
            <w:left w:w="108" w:type="dxa"/>
            <w:bottom w:w="0" w:type="dxa"/>
            <w:right w:w="108" w:type="dxa"/>
          </w:tblCellMar>
        </w:tblPrEx>
        <w:tc>
          <w:tcPr>
            <w:tcW w:w="1578" w:type="dxa"/>
          </w:tcPr>
          <w:p w14:paraId="1A1C2956">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2455" w:type="dxa"/>
          </w:tcPr>
          <w:p w14:paraId="13B25413">
            <w:pPr>
              <w:spacing w:line="360" w:lineRule="auto"/>
              <w:ind w:firstLine="480" w:firstLineChars="200"/>
              <w:rPr>
                <w:rFonts w:ascii="宋体" w:hAnsi="宋体" w:cs="宋体"/>
                <w:color w:val="auto"/>
                <w:sz w:val="24"/>
                <w:highlight w:val="none"/>
              </w:rPr>
            </w:pPr>
          </w:p>
        </w:tc>
        <w:tc>
          <w:tcPr>
            <w:tcW w:w="1573" w:type="dxa"/>
          </w:tcPr>
          <w:p w14:paraId="677D8ADD">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3574" w:type="dxa"/>
          </w:tcPr>
          <w:p w14:paraId="2DA73540">
            <w:pPr>
              <w:spacing w:line="360" w:lineRule="auto"/>
              <w:rPr>
                <w:rFonts w:ascii="宋体" w:hAnsi="宋体" w:cs="宋体"/>
                <w:color w:val="auto"/>
                <w:sz w:val="24"/>
                <w:highlight w:val="none"/>
              </w:rPr>
            </w:pPr>
          </w:p>
        </w:tc>
      </w:tr>
      <w:tr w14:paraId="216083B1">
        <w:tblPrEx>
          <w:tblCellMar>
            <w:top w:w="0" w:type="dxa"/>
            <w:left w:w="108" w:type="dxa"/>
            <w:bottom w:w="0" w:type="dxa"/>
            <w:right w:w="108" w:type="dxa"/>
          </w:tblCellMar>
        </w:tblPrEx>
        <w:tc>
          <w:tcPr>
            <w:tcW w:w="1578" w:type="dxa"/>
          </w:tcPr>
          <w:p w14:paraId="13653579">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2455" w:type="dxa"/>
          </w:tcPr>
          <w:p w14:paraId="246361FA">
            <w:pPr>
              <w:spacing w:line="360" w:lineRule="auto"/>
              <w:ind w:firstLine="480" w:firstLineChars="200"/>
              <w:rPr>
                <w:rFonts w:ascii="宋体" w:hAnsi="宋体" w:cs="宋体"/>
                <w:color w:val="auto"/>
                <w:sz w:val="24"/>
                <w:highlight w:val="none"/>
              </w:rPr>
            </w:pPr>
          </w:p>
        </w:tc>
        <w:tc>
          <w:tcPr>
            <w:tcW w:w="1573" w:type="dxa"/>
          </w:tcPr>
          <w:p w14:paraId="6ABFCEE8">
            <w:pPr>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3574" w:type="dxa"/>
          </w:tcPr>
          <w:p w14:paraId="7F2E1908">
            <w:pPr>
              <w:spacing w:line="360" w:lineRule="auto"/>
              <w:ind w:firstLine="480" w:firstLineChars="200"/>
              <w:rPr>
                <w:rFonts w:ascii="宋体" w:hAnsi="宋体" w:cs="宋体"/>
                <w:color w:val="auto"/>
                <w:sz w:val="24"/>
                <w:highlight w:val="none"/>
              </w:rPr>
            </w:pPr>
          </w:p>
        </w:tc>
      </w:tr>
      <w:tr w14:paraId="27579FAB">
        <w:tblPrEx>
          <w:tblCellMar>
            <w:top w:w="0" w:type="dxa"/>
            <w:left w:w="108" w:type="dxa"/>
            <w:bottom w:w="0" w:type="dxa"/>
            <w:right w:w="108" w:type="dxa"/>
          </w:tblCellMar>
        </w:tblPrEx>
        <w:tc>
          <w:tcPr>
            <w:tcW w:w="1578" w:type="dxa"/>
          </w:tcPr>
          <w:p w14:paraId="4CC9283F">
            <w:pPr>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c>
          <w:tcPr>
            <w:tcW w:w="2455" w:type="dxa"/>
          </w:tcPr>
          <w:p w14:paraId="0B1DDC06">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福建省龙岩市新罗区凤凰北路2号</w:t>
            </w:r>
          </w:p>
        </w:tc>
        <w:tc>
          <w:tcPr>
            <w:tcW w:w="1573" w:type="dxa"/>
          </w:tcPr>
          <w:p w14:paraId="5FBB6F6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c>
          <w:tcPr>
            <w:tcW w:w="3574" w:type="dxa"/>
          </w:tcPr>
          <w:p w14:paraId="71165D84">
            <w:pPr>
              <w:spacing w:line="360" w:lineRule="auto"/>
              <w:rPr>
                <w:rFonts w:ascii="宋体" w:hAnsi="宋体" w:cs="宋体"/>
                <w:color w:val="auto"/>
                <w:sz w:val="24"/>
                <w:highlight w:val="none"/>
              </w:rPr>
            </w:pPr>
          </w:p>
        </w:tc>
      </w:tr>
      <w:tr w14:paraId="55D51F68">
        <w:tblPrEx>
          <w:tblCellMar>
            <w:top w:w="0" w:type="dxa"/>
            <w:left w:w="108" w:type="dxa"/>
            <w:bottom w:w="0" w:type="dxa"/>
            <w:right w:w="108" w:type="dxa"/>
          </w:tblCellMar>
        </w:tblPrEx>
        <w:tc>
          <w:tcPr>
            <w:tcW w:w="1578" w:type="dxa"/>
          </w:tcPr>
          <w:p w14:paraId="1350E1BF">
            <w:pPr>
              <w:spacing w:line="360" w:lineRule="auto"/>
              <w:rPr>
                <w:rFonts w:ascii="宋体" w:hAnsi="宋体" w:cs="宋体"/>
                <w:color w:val="auto"/>
                <w:sz w:val="24"/>
                <w:highlight w:val="none"/>
              </w:rPr>
            </w:pPr>
            <w:r>
              <w:rPr>
                <w:rFonts w:hint="eastAsia" w:ascii="宋体" w:hAnsi="宋体" w:cs="宋体"/>
                <w:color w:val="auto"/>
                <w:sz w:val="24"/>
                <w:highlight w:val="none"/>
              </w:rPr>
              <w:t>电话/手机：</w:t>
            </w:r>
          </w:p>
        </w:tc>
        <w:tc>
          <w:tcPr>
            <w:tcW w:w="2455" w:type="dxa"/>
          </w:tcPr>
          <w:p w14:paraId="3CBA1DB7">
            <w:pPr>
              <w:spacing w:line="360" w:lineRule="auto"/>
              <w:ind w:firstLine="480" w:firstLineChars="200"/>
              <w:rPr>
                <w:rFonts w:ascii="宋体" w:hAnsi="宋体" w:cs="宋体"/>
                <w:color w:val="auto"/>
                <w:sz w:val="24"/>
                <w:highlight w:val="none"/>
              </w:rPr>
            </w:pPr>
          </w:p>
        </w:tc>
        <w:tc>
          <w:tcPr>
            <w:tcW w:w="1573" w:type="dxa"/>
          </w:tcPr>
          <w:p w14:paraId="0F1EF775">
            <w:pPr>
              <w:spacing w:line="360" w:lineRule="auto"/>
              <w:rPr>
                <w:rFonts w:ascii="宋体" w:hAnsi="宋体" w:cs="宋体"/>
                <w:color w:val="auto"/>
                <w:sz w:val="24"/>
                <w:highlight w:val="none"/>
              </w:rPr>
            </w:pPr>
            <w:r>
              <w:rPr>
                <w:rFonts w:hint="eastAsia" w:ascii="宋体" w:hAnsi="宋体" w:cs="宋体"/>
                <w:color w:val="auto"/>
                <w:sz w:val="24"/>
                <w:highlight w:val="none"/>
              </w:rPr>
              <w:t>电话/手机：</w:t>
            </w:r>
          </w:p>
        </w:tc>
        <w:tc>
          <w:tcPr>
            <w:tcW w:w="3574" w:type="dxa"/>
          </w:tcPr>
          <w:p w14:paraId="1EEB6509">
            <w:pPr>
              <w:spacing w:line="360" w:lineRule="auto"/>
              <w:rPr>
                <w:rFonts w:ascii="宋体" w:hAnsi="宋体" w:cs="宋体"/>
                <w:color w:val="auto"/>
                <w:sz w:val="24"/>
                <w:highlight w:val="none"/>
              </w:rPr>
            </w:pPr>
          </w:p>
        </w:tc>
      </w:tr>
      <w:tr w14:paraId="100E7ADD">
        <w:tblPrEx>
          <w:tblCellMar>
            <w:top w:w="0" w:type="dxa"/>
            <w:left w:w="108" w:type="dxa"/>
            <w:bottom w:w="0" w:type="dxa"/>
            <w:right w:w="108" w:type="dxa"/>
          </w:tblCellMar>
        </w:tblPrEx>
        <w:trPr>
          <w:trHeight w:val="784" w:hRule="atLeast"/>
        </w:trPr>
        <w:tc>
          <w:tcPr>
            <w:tcW w:w="1578" w:type="dxa"/>
          </w:tcPr>
          <w:p w14:paraId="50FA966A">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2455" w:type="dxa"/>
          </w:tcPr>
          <w:p w14:paraId="1E4A446D">
            <w:pPr>
              <w:spacing w:line="360" w:lineRule="auto"/>
              <w:ind w:firstLine="480" w:firstLineChars="200"/>
              <w:rPr>
                <w:rFonts w:ascii="宋体" w:hAnsi="宋体" w:cs="宋体"/>
                <w:color w:val="auto"/>
                <w:sz w:val="24"/>
                <w:highlight w:val="none"/>
              </w:rPr>
            </w:pPr>
          </w:p>
        </w:tc>
        <w:tc>
          <w:tcPr>
            <w:tcW w:w="1573" w:type="dxa"/>
          </w:tcPr>
          <w:p w14:paraId="118760C8">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3574" w:type="dxa"/>
          </w:tcPr>
          <w:p w14:paraId="031C38CB">
            <w:pPr>
              <w:spacing w:line="360" w:lineRule="auto"/>
              <w:rPr>
                <w:rFonts w:ascii="宋体" w:hAnsi="宋体" w:cs="宋体"/>
                <w:color w:val="auto"/>
                <w:sz w:val="24"/>
                <w:highlight w:val="none"/>
              </w:rPr>
            </w:pPr>
          </w:p>
        </w:tc>
      </w:tr>
      <w:tr w14:paraId="0449FB23">
        <w:tblPrEx>
          <w:tblCellMar>
            <w:top w:w="0" w:type="dxa"/>
            <w:left w:w="108" w:type="dxa"/>
            <w:bottom w:w="0" w:type="dxa"/>
            <w:right w:w="108" w:type="dxa"/>
          </w:tblCellMar>
        </w:tblPrEx>
        <w:tc>
          <w:tcPr>
            <w:tcW w:w="1578" w:type="dxa"/>
          </w:tcPr>
          <w:p w14:paraId="0D203E29">
            <w:pPr>
              <w:spacing w:line="360" w:lineRule="auto"/>
              <w:rPr>
                <w:rFonts w:ascii="宋体" w:hAnsi="宋体" w:cs="宋体"/>
                <w:color w:val="auto"/>
                <w:sz w:val="24"/>
                <w:highlight w:val="none"/>
              </w:rPr>
            </w:pPr>
            <w:r>
              <w:rPr>
                <w:rFonts w:hint="eastAsia" w:ascii="宋体" w:hAnsi="宋体" w:cs="宋体"/>
                <w:color w:val="auto"/>
                <w:sz w:val="24"/>
                <w:highlight w:val="none"/>
              </w:rPr>
              <w:t>账    号：</w:t>
            </w:r>
          </w:p>
        </w:tc>
        <w:tc>
          <w:tcPr>
            <w:tcW w:w="2455" w:type="dxa"/>
          </w:tcPr>
          <w:p w14:paraId="6F3D5ACD">
            <w:pPr>
              <w:spacing w:line="360" w:lineRule="auto"/>
              <w:ind w:firstLine="480" w:firstLineChars="200"/>
              <w:rPr>
                <w:rFonts w:ascii="宋体" w:hAnsi="宋体" w:cs="宋体"/>
                <w:color w:val="auto"/>
                <w:sz w:val="24"/>
                <w:highlight w:val="none"/>
              </w:rPr>
            </w:pPr>
          </w:p>
        </w:tc>
        <w:tc>
          <w:tcPr>
            <w:tcW w:w="1573" w:type="dxa"/>
          </w:tcPr>
          <w:p w14:paraId="1EF7E0F5">
            <w:pPr>
              <w:spacing w:line="360" w:lineRule="auto"/>
              <w:rPr>
                <w:rFonts w:ascii="宋体" w:hAnsi="宋体" w:cs="宋体"/>
                <w:color w:val="auto"/>
                <w:sz w:val="24"/>
                <w:highlight w:val="none"/>
              </w:rPr>
            </w:pPr>
            <w:r>
              <w:rPr>
                <w:rFonts w:hint="eastAsia" w:ascii="宋体" w:hAnsi="宋体" w:cs="宋体"/>
                <w:color w:val="auto"/>
                <w:sz w:val="24"/>
                <w:highlight w:val="none"/>
              </w:rPr>
              <w:t>账    号：</w:t>
            </w:r>
          </w:p>
        </w:tc>
        <w:tc>
          <w:tcPr>
            <w:tcW w:w="3574" w:type="dxa"/>
          </w:tcPr>
          <w:p w14:paraId="11832422">
            <w:pPr>
              <w:spacing w:line="360" w:lineRule="auto"/>
              <w:rPr>
                <w:rFonts w:ascii="宋体" w:hAnsi="宋体" w:cs="宋体"/>
                <w:color w:val="auto"/>
                <w:sz w:val="24"/>
                <w:highlight w:val="none"/>
              </w:rPr>
            </w:pPr>
          </w:p>
        </w:tc>
      </w:tr>
    </w:tbl>
    <w:p w14:paraId="747F2707">
      <w:pPr>
        <w:rPr>
          <w:color w:val="auto"/>
          <w:highlight w:val="none"/>
        </w:rPr>
      </w:pPr>
    </w:p>
    <w:p w14:paraId="0EB4E204">
      <w:pPr>
        <w:pStyle w:val="19"/>
        <w:rPr>
          <w:rFonts w:ascii="宋体" w:hAnsi="宋体" w:cs="宋体"/>
          <w:color w:val="auto"/>
          <w:highlight w:val="none"/>
        </w:rPr>
      </w:pPr>
    </w:p>
    <w:p w14:paraId="76AD3E1F">
      <w:pPr>
        <w:pStyle w:val="19"/>
        <w:rPr>
          <w:rFonts w:ascii="宋体" w:hAnsi="宋体" w:cs="宋体"/>
          <w:color w:val="auto"/>
          <w:highlight w:val="none"/>
        </w:rPr>
      </w:pPr>
    </w:p>
    <w:p w14:paraId="118E3D3C">
      <w:pPr>
        <w:jc w:val="center"/>
        <w:rPr>
          <w:rFonts w:ascii="宋体" w:hAnsi="宋体" w:cs="宋体"/>
          <w:b/>
          <w:color w:val="auto"/>
          <w:sz w:val="36"/>
          <w:highlight w:val="none"/>
        </w:rPr>
      </w:pPr>
    </w:p>
    <w:p w14:paraId="7C5C94E1">
      <w:pPr>
        <w:pStyle w:val="19"/>
        <w:rPr>
          <w:rFonts w:ascii="宋体" w:hAnsi="宋体" w:cs="宋体"/>
          <w:color w:val="auto"/>
          <w:sz w:val="24"/>
          <w:highlight w:val="none"/>
        </w:rPr>
      </w:pPr>
    </w:p>
    <w:p w14:paraId="53CE8128">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173B524F">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14:paraId="0E33340E">
      <w:pPr>
        <w:pStyle w:val="8"/>
        <w:spacing w:line="360" w:lineRule="auto"/>
        <w:rPr>
          <w:rFonts w:ascii="宋体" w:hAnsi="宋体" w:cs="宋体"/>
          <w:b/>
          <w:color w:val="auto"/>
          <w:kern w:val="0"/>
          <w:sz w:val="24"/>
          <w:highlight w:val="none"/>
        </w:rPr>
      </w:pPr>
    </w:p>
    <w:p w14:paraId="71DCADB2">
      <w:pPr>
        <w:adjustRightInd w:val="0"/>
        <w:snapToGrid w:val="0"/>
        <w:spacing w:line="560" w:lineRule="exact"/>
        <w:rPr>
          <w:rFonts w:ascii="宋体" w:hAnsi="宋体" w:cs="宋体"/>
          <w:color w:val="auto"/>
          <w:sz w:val="24"/>
          <w:highlight w:val="none"/>
        </w:rPr>
      </w:pPr>
    </w:p>
    <w:p w14:paraId="2551EDB5">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14:paraId="72687BEF">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E38BC9E">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14:paraId="3FD25C71">
      <w:pPr>
        <w:rPr>
          <w:rFonts w:ascii="宋体" w:hAnsi="宋体" w:cs="宋体"/>
          <w:color w:val="auto"/>
          <w:highlight w:val="none"/>
        </w:rPr>
      </w:pPr>
    </w:p>
    <w:p w14:paraId="18E60CC5">
      <w:pPr>
        <w:pStyle w:val="3"/>
        <w:rPr>
          <w:rFonts w:cs="宋体"/>
          <w:color w:val="auto"/>
          <w:highlight w:val="none"/>
        </w:rPr>
      </w:pPr>
    </w:p>
    <w:p w14:paraId="04712036">
      <w:pPr>
        <w:rPr>
          <w:rFonts w:ascii="宋体" w:hAnsi="宋体" w:cs="宋体"/>
          <w:color w:val="auto"/>
          <w:highlight w:val="none"/>
        </w:rPr>
      </w:pPr>
    </w:p>
    <w:p w14:paraId="01D4CE65">
      <w:pPr>
        <w:pStyle w:val="3"/>
        <w:rPr>
          <w:rFonts w:cs="宋体"/>
          <w:color w:val="auto"/>
          <w:highlight w:val="none"/>
        </w:rPr>
      </w:pPr>
    </w:p>
    <w:p w14:paraId="0A66EDB3">
      <w:pPr>
        <w:rPr>
          <w:rFonts w:ascii="宋体" w:hAnsi="宋体" w:cs="宋体"/>
          <w:color w:val="auto"/>
          <w:highlight w:val="none"/>
        </w:rPr>
      </w:pPr>
    </w:p>
    <w:p w14:paraId="2D5BC64D">
      <w:pPr>
        <w:pStyle w:val="4"/>
        <w:rPr>
          <w:rFonts w:hint="default" w:cs="宋体"/>
          <w:color w:val="auto"/>
          <w:highlight w:val="none"/>
        </w:rPr>
      </w:pPr>
    </w:p>
    <w:p w14:paraId="595AB632">
      <w:pPr>
        <w:rPr>
          <w:rFonts w:ascii="宋体" w:hAnsi="宋体" w:cs="宋体"/>
          <w:color w:val="auto"/>
          <w:highlight w:val="none"/>
        </w:rPr>
      </w:pPr>
    </w:p>
    <w:p w14:paraId="576FD393">
      <w:pPr>
        <w:pStyle w:val="4"/>
        <w:rPr>
          <w:rFonts w:hint="default" w:cs="宋体"/>
          <w:color w:val="auto"/>
          <w:highlight w:val="none"/>
        </w:rPr>
      </w:pPr>
    </w:p>
    <w:p w14:paraId="6B9FC92E">
      <w:pPr>
        <w:rPr>
          <w:rFonts w:ascii="宋体" w:hAnsi="宋体" w:cs="宋体"/>
          <w:color w:val="auto"/>
          <w:highlight w:val="none"/>
        </w:rPr>
      </w:pPr>
    </w:p>
    <w:p w14:paraId="24521C5B">
      <w:pPr>
        <w:pStyle w:val="4"/>
        <w:rPr>
          <w:rFonts w:hint="default" w:cs="宋体"/>
          <w:color w:val="auto"/>
          <w:highlight w:val="none"/>
        </w:rPr>
      </w:pPr>
    </w:p>
    <w:p w14:paraId="3F77642C">
      <w:pPr>
        <w:rPr>
          <w:rFonts w:ascii="宋体" w:hAnsi="宋体" w:cs="宋体"/>
          <w:color w:val="auto"/>
          <w:highlight w:val="none"/>
        </w:rPr>
      </w:pPr>
    </w:p>
    <w:p w14:paraId="67F3DF76">
      <w:pPr>
        <w:rPr>
          <w:rFonts w:ascii="宋体" w:hAnsi="宋体" w:cs="宋体"/>
          <w:color w:val="auto"/>
          <w:highlight w:val="none"/>
        </w:rPr>
      </w:pPr>
    </w:p>
    <w:p w14:paraId="584B1F6C">
      <w:pPr>
        <w:pStyle w:val="18"/>
        <w:ind w:firstLine="210"/>
        <w:rPr>
          <w:rFonts w:ascii="宋体" w:hAnsi="宋体" w:cs="宋体"/>
          <w:color w:val="auto"/>
          <w:highlight w:val="none"/>
        </w:rPr>
      </w:pPr>
    </w:p>
    <w:p w14:paraId="73E96182">
      <w:pPr>
        <w:pStyle w:val="6"/>
        <w:rPr>
          <w:rFonts w:ascii="宋体" w:hAnsi="宋体" w:cs="宋体"/>
          <w:color w:val="auto"/>
          <w:highlight w:val="none"/>
        </w:rPr>
      </w:pPr>
    </w:p>
    <w:p w14:paraId="02CC981E">
      <w:pPr>
        <w:pStyle w:val="7"/>
        <w:rPr>
          <w:rFonts w:ascii="宋体" w:hAnsi="宋体" w:cs="宋体"/>
          <w:color w:val="auto"/>
          <w:highlight w:val="none"/>
        </w:rPr>
      </w:pPr>
    </w:p>
    <w:p w14:paraId="662647F8">
      <w:pPr>
        <w:pStyle w:val="6"/>
        <w:rPr>
          <w:rFonts w:ascii="宋体" w:hAnsi="宋体" w:cs="宋体"/>
          <w:color w:val="auto"/>
          <w:highlight w:val="none"/>
        </w:rPr>
      </w:pPr>
    </w:p>
    <w:p w14:paraId="529BFB60">
      <w:pPr>
        <w:spacing w:line="1000" w:lineRule="exact"/>
        <w:jc w:val="center"/>
        <w:rPr>
          <w:rFonts w:ascii="宋体" w:hAnsi="宋体" w:eastAsia="宋体" w:cs="宋体"/>
          <w:color w:val="auto"/>
          <w:sz w:val="96"/>
          <w:szCs w:val="96"/>
          <w:highlight w:val="none"/>
        </w:rPr>
      </w:pPr>
    </w:p>
    <w:p w14:paraId="3359FF3E">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58EADD5E">
      <w:pPr>
        <w:pStyle w:val="25"/>
        <w:spacing w:after="120" w:line="500" w:lineRule="exact"/>
        <w:outlineLvl w:val="9"/>
        <w:rPr>
          <w:rStyle w:val="26"/>
          <w:rFonts w:ascii="宋体" w:hAnsi="宋体" w:cs="宋体"/>
          <w:b/>
          <w:bCs/>
          <w:color w:val="auto"/>
          <w:sz w:val="44"/>
          <w:szCs w:val="44"/>
          <w:highlight w:val="none"/>
        </w:rPr>
      </w:pPr>
    </w:p>
    <w:p w14:paraId="47FC9279">
      <w:pPr>
        <w:pStyle w:val="25"/>
        <w:spacing w:after="120" w:line="500" w:lineRule="exact"/>
        <w:jc w:val="center"/>
        <w:outlineLvl w:val="9"/>
        <w:rPr>
          <w:rStyle w:val="26"/>
          <w:rFonts w:ascii="宋体" w:hAnsi="宋体" w:cs="宋体"/>
          <w:b/>
          <w:bCs/>
          <w:color w:val="auto"/>
          <w:sz w:val="44"/>
          <w:szCs w:val="44"/>
          <w:highlight w:val="none"/>
        </w:rPr>
      </w:pPr>
      <w:r>
        <w:rPr>
          <w:rStyle w:val="26"/>
          <w:rFonts w:hint="eastAsia" w:hAnsi="宋体" w:cs="宋体"/>
          <w:b/>
          <w:bCs/>
          <w:color w:val="auto"/>
          <w:sz w:val="44"/>
          <w:szCs w:val="44"/>
          <w:highlight w:val="none"/>
        </w:rPr>
        <w:t>（第一部分</w:t>
      </w:r>
      <w:r>
        <w:rPr>
          <w:rStyle w:val="26"/>
          <w:rFonts w:hAnsi="宋体" w:cs="宋体"/>
          <w:b/>
          <w:bCs/>
          <w:color w:val="auto"/>
          <w:sz w:val="44"/>
          <w:szCs w:val="44"/>
          <w:highlight w:val="none"/>
        </w:rPr>
        <w:t xml:space="preserve">  </w:t>
      </w:r>
      <w:r>
        <w:rPr>
          <w:rStyle w:val="26"/>
          <w:rFonts w:hint="eastAsia" w:hAnsi="宋体" w:cs="宋体"/>
          <w:b/>
          <w:bCs/>
          <w:color w:val="auto"/>
          <w:sz w:val="44"/>
          <w:szCs w:val="44"/>
          <w:highlight w:val="none"/>
        </w:rPr>
        <w:t>资格及技术商务部分）</w:t>
      </w:r>
    </w:p>
    <w:p w14:paraId="3F79EBFC">
      <w:pPr>
        <w:spacing w:line="1000" w:lineRule="exact"/>
        <w:ind w:firstLine="1920" w:firstLineChars="200"/>
        <w:jc w:val="left"/>
        <w:rPr>
          <w:rFonts w:ascii="宋体" w:hAnsi="宋体" w:cs="宋体"/>
          <w:color w:val="auto"/>
          <w:sz w:val="96"/>
          <w:szCs w:val="96"/>
          <w:highlight w:val="none"/>
        </w:rPr>
      </w:pPr>
    </w:p>
    <w:p w14:paraId="3782B11B">
      <w:pPr>
        <w:spacing w:line="1000" w:lineRule="exact"/>
        <w:ind w:firstLine="1920" w:firstLineChars="200"/>
        <w:jc w:val="left"/>
        <w:rPr>
          <w:rFonts w:ascii="宋体" w:hAnsi="宋体" w:cs="宋体"/>
          <w:color w:val="auto"/>
          <w:sz w:val="96"/>
          <w:szCs w:val="96"/>
          <w:highlight w:val="none"/>
        </w:rPr>
      </w:pPr>
    </w:p>
    <w:p w14:paraId="68E66B06">
      <w:pPr>
        <w:pStyle w:val="3"/>
        <w:rPr>
          <w:rFonts w:cs="宋体"/>
          <w:color w:val="auto"/>
          <w:highlight w:val="none"/>
        </w:rPr>
      </w:pPr>
    </w:p>
    <w:p w14:paraId="42A77E53">
      <w:pPr>
        <w:spacing w:line="1000" w:lineRule="exact"/>
        <w:ind w:firstLine="1920" w:firstLineChars="200"/>
        <w:jc w:val="left"/>
        <w:rPr>
          <w:rFonts w:ascii="宋体" w:hAnsi="宋体" w:cs="宋体"/>
          <w:color w:val="auto"/>
          <w:sz w:val="96"/>
          <w:szCs w:val="96"/>
          <w:highlight w:val="none"/>
        </w:rPr>
      </w:pPr>
    </w:p>
    <w:p w14:paraId="25DF0C58">
      <w:pPr>
        <w:pStyle w:val="10"/>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49641537">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1F40D822">
      <w:pPr>
        <w:pStyle w:val="10"/>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4C30E58C">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09D9324B">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14:paraId="5447AA05">
      <w:pPr>
        <w:pStyle w:val="3"/>
        <w:rPr>
          <w:rFonts w:cs="宋体"/>
          <w:color w:val="auto"/>
          <w:highlight w:val="none"/>
        </w:rPr>
      </w:pPr>
    </w:p>
    <w:p w14:paraId="154633BD">
      <w:pPr>
        <w:rPr>
          <w:rFonts w:ascii="宋体" w:hAnsi="宋体" w:cs="宋体"/>
          <w:color w:val="auto"/>
          <w:highlight w:val="none"/>
        </w:rPr>
      </w:pPr>
    </w:p>
    <w:p w14:paraId="02D03E72">
      <w:pPr>
        <w:rPr>
          <w:rFonts w:ascii="宋体" w:hAnsi="宋体" w:cs="宋体"/>
          <w:color w:val="auto"/>
          <w:highlight w:val="none"/>
        </w:rPr>
      </w:pPr>
    </w:p>
    <w:p w14:paraId="78E97E93">
      <w:pPr>
        <w:pStyle w:val="18"/>
        <w:ind w:firstLine="210"/>
        <w:rPr>
          <w:rFonts w:ascii="宋体" w:hAnsi="宋体" w:cs="宋体"/>
          <w:color w:val="auto"/>
          <w:highlight w:val="none"/>
        </w:rPr>
      </w:pPr>
    </w:p>
    <w:p w14:paraId="089A102B">
      <w:pPr>
        <w:pStyle w:val="19"/>
        <w:rPr>
          <w:rFonts w:ascii="宋体" w:hAnsi="宋体" w:cs="宋体"/>
          <w:color w:val="auto"/>
          <w:highlight w:val="none"/>
        </w:rPr>
      </w:pPr>
    </w:p>
    <w:p w14:paraId="4E9F5F7E">
      <w:pPr>
        <w:pStyle w:val="19"/>
        <w:rPr>
          <w:rFonts w:ascii="宋体" w:hAnsi="宋体" w:cs="宋体"/>
          <w:color w:val="auto"/>
          <w:highlight w:val="none"/>
        </w:rPr>
      </w:pPr>
    </w:p>
    <w:p w14:paraId="5DD52C1D">
      <w:pPr>
        <w:pStyle w:val="18"/>
        <w:ind w:firstLine="210"/>
        <w:rPr>
          <w:rFonts w:ascii="宋体" w:hAnsi="宋体" w:cs="宋体"/>
          <w:color w:val="auto"/>
          <w:highlight w:val="none"/>
        </w:rPr>
      </w:pPr>
    </w:p>
    <w:p w14:paraId="2BD2D55B">
      <w:pPr>
        <w:pStyle w:val="7"/>
        <w:rPr>
          <w:rFonts w:ascii="宋体" w:hAnsi="宋体" w:cs="宋体"/>
          <w:color w:val="auto"/>
          <w:highlight w:val="none"/>
        </w:rPr>
      </w:pPr>
    </w:p>
    <w:p w14:paraId="566DAD3B">
      <w:pPr>
        <w:pStyle w:val="25"/>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14:paraId="7FEE8C17">
      <w:pPr>
        <w:pStyle w:val="25"/>
        <w:spacing w:after="120" w:line="500" w:lineRule="exact"/>
        <w:outlineLvl w:val="9"/>
        <w:rPr>
          <w:rFonts w:hAnsi="宋体" w:cs="宋体"/>
          <w:b/>
          <w:color w:val="auto"/>
          <w:sz w:val="36"/>
          <w:highlight w:val="none"/>
        </w:rPr>
      </w:pPr>
    </w:p>
    <w:p w14:paraId="236B598F">
      <w:pPr>
        <w:pStyle w:val="25"/>
        <w:spacing w:line="480" w:lineRule="auto"/>
        <w:rPr>
          <w:rFonts w:hAnsi="宋体" w:cs="宋体"/>
          <w:bCs/>
          <w:color w:val="auto"/>
          <w:sz w:val="24"/>
          <w:highlight w:val="none"/>
        </w:rPr>
      </w:pPr>
      <w:r>
        <w:rPr>
          <w:rFonts w:hAnsi="宋体" w:cs="宋体"/>
          <w:bCs/>
          <w:color w:val="auto"/>
          <w:kern w:val="0"/>
          <w:sz w:val="24"/>
          <w:highlight w:val="none"/>
        </w:rPr>
        <w:t>1、网上竞价承诺书</w:t>
      </w:r>
    </w:p>
    <w:p w14:paraId="4D0E23FA">
      <w:pPr>
        <w:pStyle w:val="25"/>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14:paraId="0331151B">
      <w:pPr>
        <w:pStyle w:val="25"/>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14:paraId="33BE2235">
      <w:pPr>
        <w:pStyle w:val="25"/>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14:paraId="0274CDA3">
      <w:pPr>
        <w:pStyle w:val="25"/>
        <w:spacing w:line="360" w:lineRule="auto"/>
        <w:outlineLvl w:val="9"/>
        <w:rPr>
          <w:rFonts w:hAnsi="宋体" w:cs="宋体"/>
          <w:bCs/>
          <w:color w:val="auto"/>
          <w:sz w:val="24"/>
          <w:highlight w:val="none"/>
        </w:rPr>
      </w:pPr>
    </w:p>
    <w:p w14:paraId="5D648633">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76B625FB">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3F454C8E">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14:paraId="3A0252D5">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14:paraId="52901B55">
      <w:pPr>
        <w:widowControl/>
        <w:shd w:val="clear" w:color="auto" w:fill="FFFFFF"/>
        <w:spacing w:line="420" w:lineRule="exact"/>
        <w:rPr>
          <w:rFonts w:ascii="宋体" w:hAnsi="宋体" w:cs="宋体"/>
          <w:b/>
          <w:color w:val="auto"/>
          <w:kern w:val="0"/>
          <w:sz w:val="28"/>
          <w:szCs w:val="28"/>
          <w:highlight w:val="none"/>
          <w:shd w:val="clear" w:color="auto" w:fill="FFFFFF"/>
        </w:rPr>
      </w:pPr>
    </w:p>
    <w:p w14:paraId="10E3014F">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福建省闽西监狱</w:t>
      </w:r>
    </w:p>
    <w:p w14:paraId="62C4229F">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8"/>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8"/>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545D74DD">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5B28837">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828008C">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14:paraId="15C7791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14:paraId="479B99C5">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14:paraId="2622D27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14:paraId="0AD7A95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14:paraId="0BA2E1EE">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八、我公司承诺未被列入福建省监狱管理局及其下属单位黑名单</w:t>
      </w:r>
      <w:r>
        <w:rPr>
          <w:rFonts w:hint="eastAsia" w:ascii="宋体" w:hAnsi="宋体" w:cs="宋体"/>
          <w:color w:val="auto"/>
          <w:sz w:val="24"/>
          <w:highlight w:val="none"/>
          <w:lang w:eastAsia="zh-CN"/>
        </w:rPr>
        <w:t>。</w:t>
      </w:r>
    </w:p>
    <w:p w14:paraId="04FB772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14:paraId="18579568">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14:paraId="19F2390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54A8256">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3B0BE3F9">
      <w:pPr>
        <w:widowControl/>
        <w:shd w:val="clear" w:color="auto" w:fill="FFFFFF"/>
        <w:spacing w:line="420" w:lineRule="exact"/>
        <w:jc w:val="left"/>
        <w:rPr>
          <w:rFonts w:ascii="宋体" w:hAnsi="宋体" w:cs="宋体"/>
          <w:color w:val="auto"/>
          <w:kern w:val="0"/>
          <w:sz w:val="24"/>
          <w:highlight w:val="none"/>
          <w:shd w:val="clear" w:color="auto" w:fill="FFFFFF"/>
        </w:rPr>
      </w:pPr>
    </w:p>
    <w:p w14:paraId="7B9547B1">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8"/>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091E3241">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14:paraId="1D7C5946">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14:paraId="7F8944D1">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00AB9C1D">
      <w:pPr>
        <w:pStyle w:val="25"/>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14:paraId="1167AAB0">
      <w:pPr>
        <w:pStyle w:val="25"/>
        <w:spacing w:line="360" w:lineRule="auto"/>
        <w:jc w:val="center"/>
        <w:outlineLvl w:val="9"/>
        <w:rPr>
          <w:rFonts w:hAnsi="宋体" w:cs="宋体"/>
          <w:b/>
          <w:color w:val="auto"/>
          <w:szCs w:val="28"/>
          <w:highlight w:val="none"/>
        </w:rPr>
      </w:pPr>
    </w:p>
    <w:p w14:paraId="603B1307">
      <w:pPr>
        <w:rPr>
          <w:rFonts w:ascii="宋体" w:hAnsi="宋体" w:cs="宋体"/>
          <w:color w:val="auto"/>
          <w:highlight w:val="none"/>
        </w:rPr>
      </w:pPr>
    </w:p>
    <w:p w14:paraId="18987B78">
      <w:pPr>
        <w:rPr>
          <w:rFonts w:ascii="宋体" w:hAnsi="宋体" w:cs="宋体"/>
          <w:color w:val="auto"/>
          <w:highlight w:val="none"/>
        </w:rPr>
      </w:pPr>
    </w:p>
    <w:p w14:paraId="514F3340">
      <w:pPr>
        <w:rPr>
          <w:rFonts w:ascii="宋体" w:hAnsi="宋体" w:cs="宋体"/>
          <w:color w:val="auto"/>
          <w:highlight w:val="none"/>
        </w:rPr>
      </w:pPr>
    </w:p>
    <w:p w14:paraId="0B8F06C2">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14:paraId="62BC3F92">
      <w:pPr>
        <w:pStyle w:val="25"/>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14:paraId="360695E0">
      <w:pPr>
        <w:pStyle w:val="16"/>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cs="宋体"/>
          <w:bCs/>
          <w:color w:val="auto"/>
          <w:highlight w:val="none"/>
          <w:u w:val="single"/>
          <w:lang w:val="zh-CN"/>
        </w:rPr>
        <w:t>福建省闽西监狱</w:t>
      </w:r>
    </w:p>
    <w:p w14:paraId="630F7CC0">
      <w:pPr>
        <w:pStyle w:val="16"/>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40AB079">
      <w:pPr>
        <w:pStyle w:val="16"/>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14:paraId="59ADEE1B">
      <w:pPr>
        <w:pStyle w:val="16"/>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14:paraId="7F839C64">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48580AD">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246E4AD6">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5851084C">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0743E293">
      <w:pPr>
        <w:pStyle w:val="16"/>
        <w:spacing w:before="0" w:beforeAutospacing="0" w:after="0" w:afterAutospacing="0" w:line="420" w:lineRule="exact"/>
        <w:rPr>
          <w:color w:val="auto"/>
          <w:highlight w:val="none"/>
        </w:rPr>
      </w:pPr>
      <w:r>
        <w:rPr>
          <w:rFonts w:hint="eastAsia" w:ascii="宋体" w:hAnsi="宋体" w:cs="宋体"/>
          <w:color w:val="auto"/>
          <w:highlight w:val="none"/>
        </w:rPr>
        <w:t>授权方</w:t>
      </w:r>
    </w:p>
    <w:p w14:paraId="2AD6BD87">
      <w:pPr>
        <w:pStyle w:val="16"/>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14:paraId="2E1BA8E4">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1F6D9087">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3D575BD5">
      <w:pPr>
        <w:pStyle w:val="16"/>
        <w:spacing w:before="0" w:beforeAutospacing="0" w:after="0" w:afterAutospacing="0" w:line="420" w:lineRule="exact"/>
        <w:rPr>
          <w:color w:val="auto"/>
          <w:highlight w:val="none"/>
        </w:rPr>
      </w:pPr>
      <w:r>
        <w:rPr>
          <w:rFonts w:hint="eastAsia" w:ascii="宋体" w:hAnsi="宋体" w:cs="宋体"/>
          <w:color w:val="auto"/>
          <w:highlight w:val="none"/>
        </w:rPr>
        <w:t>接受授权方</w:t>
      </w:r>
    </w:p>
    <w:p w14:paraId="3AE2E75B">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28F0BE74">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7A27D3BE">
      <w:pPr>
        <w:pStyle w:val="16"/>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7FDF27B3">
      <w:pPr>
        <w:pStyle w:val="16"/>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B71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6816" w:type="dxa"/>
            <w:tcMar>
              <w:top w:w="0" w:type="dxa"/>
              <w:left w:w="84" w:type="dxa"/>
              <w:bottom w:w="0" w:type="dxa"/>
              <w:right w:w="84" w:type="dxa"/>
            </w:tcMar>
            <w:vAlign w:val="center"/>
          </w:tcPr>
          <w:p w14:paraId="7EB893B9">
            <w:pPr>
              <w:pStyle w:val="16"/>
              <w:spacing w:before="0" w:beforeAutospacing="0" w:after="0" w:afterAutospacing="0" w:line="420" w:lineRule="exact"/>
              <w:jc w:val="center"/>
              <w:rPr>
                <w:color w:val="auto"/>
                <w:highlight w:val="none"/>
              </w:rPr>
            </w:pPr>
            <w:r>
              <w:rPr>
                <w:rStyle w:val="23"/>
                <w:rFonts w:hint="eastAsia"/>
                <w:color w:val="auto"/>
                <w:highlight w:val="none"/>
              </w:rPr>
              <w:t> </w:t>
            </w:r>
          </w:p>
          <w:p w14:paraId="232B5E60">
            <w:pPr>
              <w:pStyle w:val="16"/>
              <w:spacing w:before="0" w:beforeAutospacing="0" w:after="0" w:afterAutospacing="0" w:line="420" w:lineRule="exact"/>
              <w:jc w:val="center"/>
              <w:rPr>
                <w:color w:val="auto"/>
                <w:highlight w:val="none"/>
              </w:rPr>
            </w:pPr>
            <w:r>
              <w:rPr>
                <w:rStyle w:val="23"/>
                <w:rFonts w:hint="eastAsia"/>
                <w:color w:val="auto"/>
                <w:highlight w:val="none"/>
              </w:rPr>
              <w:t>要求：真实有效且内容完整、清晰、整洁。</w:t>
            </w:r>
          </w:p>
          <w:p w14:paraId="116804E4">
            <w:pPr>
              <w:pStyle w:val="16"/>
              <w:spacing w:before="0" w:beforeAutospacing="0" w:after="0" w:afterAutospacing="0" w:line="420" w:lineRule="exact"/>
              <w:jc w:val="center"/>
              <w:rPr>
                <w:color w:val="auto"/>
                <w:highlight w:val="none"/>
              </w:rPr>
            </w:pPr>
            <w:r>
              <w:rPr>
                <w:rStyle w:val="23"/>
                <w:rFonts w:hint="eastAsia"/>
                <w:color w:val="auto"/>
                <w:highlight w:val="none"/>
              </w:rPr>
              <w:t> </w:t>
            </w:r>
          </w:p>
        </w:tc>
      </w:tr>
    </w:tbl>
    <w:p w14:paraId="795845F9">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14:paraId="75307D77">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14:paraId="35C9459A">
      <w:pPr>
        <w:spacing w:line="360" w:lineRule="auto"/>
        <w:jc w:val="center"/>
        <w:outlineLvl w:val="2"/>
        <w:rPr>
          <w:rFonts w:ascii="宋体" w:hAnsi="宋体" w:cs="宋体"/>
          <w:b/>
          <w:color w:val="auto"/>
          <w:sz w:val="32"/>
          <w:szCs w:val="22"/>
          <w:highlight w:val="none"/>
        </w:rPr>
      </w:pPr>
    </w:p>
    <w:p w14:paraId="5F1D39A1">
      <w:pPr>
        <w:spacing w:line="360" w:lineRule="auto"/>
        <w:jc w:val="center"/>
        <w:outlineLvl w:val="2"/>
        <w:rPr>
          <w:rFonts w:ascii="宋体" w:hAnsi="宋体" w:cs="宋体"/>
          <w:b/>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特定资格要求（若有）</w:t>
      </w:r>
    </w:p>
    <w:p w14:paraId="64943BCD">
      <w:pPr>
        <w:spacing w:line="360" w:lineRule="auto"/>
        <w:outlineLvl w:val="2"/>
        <w:rPr>
          <w:rFonts w:ascii="宋体" w:hAnsi="宋体" w:cs="宋体"/>
          <w:b/>
          <w:color w:val="auto"/>
          <w:sz w:val="32"/>
          <w:szCs w:val="22"/>
          <w:highlight w:val="none"/>
        </w:rPr>
      </w:pPr>
    </w:p>
    <w:p w14:paraId="1F3ABF50">
      <w:pPr>
        <w:spacing w:line="360" w:lineRule="auto"/>
        <w:jc w:val="center"/>
        <w:outlineLvl w:val="2"/>
        <w:rPr>
          <w:rFonts w:ascii="宋体" w:hAnsi="宋体" w:cs="宋体"/>
          <w:b/>
          <w:color w:val="auto"/>
          <w:sz w:val="32"/>
          <w:szCs w:val="22"/>
          <w:highlight w:val="none"/>
        </w:rPr>
      </w:pPr>
    </w:p>
    <w:p w14:paraId="0488310D">
      <w:pPr>
        <w:spacing w:line="360" w:lineRule="auto"/>
        <w:jc w:val="center"/>
        <w:outlineLvl w:val="2"/>
        <w:rPr>
          <w:rFonts w:ascii="宋体" w:hAnsi="宋体" w:cs="宋体"/>
          <w:b/>
          <w:color w:val="auto"/>
          <w:sz w:val="32"/>
          <w:szCs w:val="22"/>
          <w:highlight w:val="none"/>
        </w:rPr>
      </w:pPr>
    </w:p>
    <w:p w14:paraId="46C8D438">
      <w:pPr>
        <w:spacing w:line="360" w:lineRule="auto"/>
        <w:jc w:val="center"/>
        <w:outlineLvl w:val="2"/>
        <w:rPr>
          <w:rFonts w:ascii="宋体" w:hAnsi="宋体" w:cs="宋体"/>
          <w:b/>
          <w:color w:val="auto"/>
          <w:sz w:val="28"/>
          <w:szCs w:val="28"/>
          <w:highlight w:val="none"/>
        </w:rPr>
      </w:pPr>
    </w:p>
    <w:p w14:paraId="4FB56320">
      <w:pPr>
        <w:spacing w:line="360" w:lineRule="auto"/>
        <w:jc w:val="center"/>
        <w:outlineLvl w:val="2"/>
        <w:rPr>
          <w:rFonts w:ascii="宋体" w:hAnsi="宋体" w:cs="宋体"/>
          <w:b/>
          <w:color w:val="auto"/>
          <w:sz w:val="28"/>
          <w:szCs w:val="28"/>
          <w:highlight w:val="none"/>
        </w:rPr>
      </w:pPr>
    </w:p>
    <w:p w14:paraId="58E9F5F4">
      <w:pPr>
        <w:spacing w:line="360" w:lineRule="auto"/>
        <w:jc w:val="center"/>
        <w:outlineLvl w:val="2"/>
        <w:rPr>
          <w:rFonts w:ascii="宋体" w:hAnsi="宋体" w:cs="宋体"/>
          <w:b/>
          <w:color w:val="auto"/>
          <w:sz w:val="28"/>
          <w:szCs w:val="28"/>
          <w:highlight w:val="none"/>
        </w:rPr>
      </w:pPr>
    </w:p>
    <w:p w14:paraId="3BA5A40D">
      <w:pPr>
        <w:spacing w:line="360" w:lineRule="auto"/>
        <w:jc w:val="center"/>
        <w:outlineLvl w:val="2"/>
        <w:rPr>
          <w:rFonts w:ascii="宋体" w:hAnsi="宋体" w:cs="宋体"/>
          <w:b/>
          <w:color w:val="auto"/>
          <w:sz w:val="28"/>
          <w:szCs w:val="28"/>
          <w:highlight w:val="none"/>
        </w:rPr>
      </w:pPr>
    </w:p>
    <w:p w14:paraId="28F4397A">
      <w:pPr>
        <w:spacing w:line="360" w:lineRule="auto"/>
        <w:jc w:val="center"/>
        <w:outlineLvl w:val="2"/>
        <w:rPr>
          <w:rFonts w:ascii="宋体" w:hAnsi="宋体" w:cs="宋体"/>
          <w:b/>
          <w:color w:val="auto"/>
          <w:sz w:val="28"/>
          <w:szCs w:val="28"/>
          <w:highlight w:val="none"/>
        </w:rPr>
      </w:pPr>
    </w:p>
    <w:p w14:paraId="72F12A99">
      <w:pPr>
        <w:spacing w:line="360" w:lineRule="auto"/>
        <w:jc w:val="center"/>
        <w:outlineLvl w:val="2"/>
        <w:rPr>
          <w:rFonts w:ascii="宋体" w:hAnsi="宋体" w:cs="宋体"/>
          <w:b/>
          <w:color w:val="auto"/>
          <w:sz w:val="28"/>
          <w:szCs w:val="28"/>
          <w:highlight w:val="none"/>
        </w:rPr>
      </w:pPr>
    </w:p>
    <w:p w14:paraId="2F685977">
      <w:pPr>
        <w:spacing w:line="360" w:lineRule="auto"/>
        <w:jc w:val="center"/>
        <w:outlineLvl w:val="2"/>
        <w:rPr>
          <w:rFonts w:ascii="宋体" w:hAnsi="宋体" w:cs="宋体"/>
          <w:b/>
          <w:color w:val="auto"/>
          <w:sz w:val="28"/>
          <w:szCs w:val="28"/>
          <w:highlight w:val="none"/>
        </w:rPr>
      </w:pPr>
    </w:p>
    <w:p w14:paraId="5A3DF3E3">
      <w:pPr>
        <w:spacing w:line="360" w:lineRule="auto"/>
        <w:jc w:val="center"/>
        <w:outlineLvl w:val="2"/>
        <w:rPr>
          <w:rFonts w:ascii="宋体" w:hAnsi="宋体" w:cs="宋体"/>
          <w:b/>
          <w:color w:val="auto"/>
          <w:sz w:val="28"/>
          <w:szCs w:val="28"/>
          <w:highlight w:val="none"/>
        </w:rPr>
      </w:pPr>
    </w:p>
    <w:p w14:paraId="3C45CEBA">
      <w:pPr>
        <w:spacing w:line="360" w:lineRule="auto"/>
        <w:jc w:val="center"/>
        <w:outlineLvl w:val="2"/>
        <w:rPr>
          <w:rFonts w:ascii="宋体" w:hAnsi="宋体" w:cs="宋体"/>
          <w:b/>
          <w:color w:val="auto"/>
          <w:sz w:val="28"/>
          <w:szCs w:val="28"/>
          <w:highlight w:val="none"/>
        </w:rPr>
      </w:pPr>
    </w:p>
    <w:p w14:paraId="7C387FAE">
      <w:pPr>
        <w:spacing w:line="360" w:lineRule="auto"/>
        <w:jc w:val="center"/>
        <w:outlineLvl w:val="2"/>
        <w:rPr>
          <w:rFonts w:ascii="宋体" w:hAnsi="宋体" w:cs="宋体"/>
          <w:b/>
          <w:color w:val="auto"/>
          <w:sz w:val="28"/>
          <w:szCs w:val="28"/>
          <w:highlight w:val="none"/>
        </w:rPr>
      </w:pPr>
    </w:p>
    <w:p w14:paraId="16BA54AB">
      <w:pPr>
        <w:spacing w:line="360" w:lineRule="auto"/>
        <w:jc w:val="center"/>
        <w:outlineLvl w:val="2"/>
        <w:rPr>
          <w:rFonts w:ascii="宋体" w:hAnsi="宋体" w:cs="宋体"/>
          <w:b/>
          <w:color w:val="auto"/>
          <w:sz w:val="28"/>
          <w:szCs w:val="28"/>
          <w:highlight w:val="none"/>
        </w:rPr>
      </w:pPr>
    </w:p>
    <w:p w14:paraId="6485230F">
      <w:pPr>
        <w:spacing w:line="360" w:lineRule="auto"/>
        <w:jc w:val="center"/>
        <w:outlineLvl w:val="2"/>
        <w:rPr>
          <w:rFonts w:ascii="宋体" w:hAnsi="宋体" w:cs="宋体"/>
          <w:b/>
          <w:color w:val="auto"/>
          <w:sz w:val="28"/>
          <w:szCs w:val="28"/>
          <w:highlight w:val="none"/>
        </w:rPr>
      </w:pPr>
    </w:p>
    <w:p w14:paraId="2589A915">
      <w:pPr>
        <w:spacing w:line="360" w:lineRule="auto"/>
        <w:jc w:val="center"/>
        <w:outlineLvl w:val="2"/>
        <w:rPr>
          <w:rFonts w:ascii="宋体" w:hAnsi="宋体" w:cs="宋体"/>
          <w:b/>
          <w:color w:val="auto"/>
          <w:sz w:val="28"/>
          <w:szCs w:val="28"/>
          <w:highlight w:val="none"/>
        </w:rPr>
      </w:pPr>
    </w:p>
    <w:p w14:paraId="00CF4928">
      <w:pPr>
        <w:spacing w:line="360" w:lineRule="auto"/>
        <w:jc w:val="center"/>
        <w:outlineLvl w:val="2"/>
        <w:rPr>
          <w:rFonts w:ascii="宋体" w:hAnsi="宋体" w:cs="宋体"/>
          <w:b/>
          <w:color w:val="auto"/>
          <w:sz w:val="28"/>
          <w:szCs w:val="28"/>
          <w:highlight w:val="none"/>
        </w:rPr>
      </w:pPr>
    </w:p>
    <w:p w14:paraId="4A728DD5">
      <w:pPr>
        <w:spacing w:line="360" w:lineRule="auto"/>
        <w:jc w:val="center"/>
        <w:outlineLvl w:val="2"/>
        <w:rPr>
          <w:rFonts w:ascii="宋体" w:hAnsi="宋体" w:cs="宋体"/>
          <w:b/>
          <w:color w:val="auto"/>
          <w:sz w:val="28"/>
          <w:szCs w:val="28"/>
          <w:highlight w:val="none"/>
        </w:rPr>
      </w:pPr>
    </w:p>
    <w:p w14:paraId="13FDBE22">
      <w:pPr>
        <w:spacing w:line="360" w:lineRule="auto"/>
        <w:jc w:val="center"/>
        <w:outlineLvl w:val="2"/>
        <w:rPr>
          <w:rFonts w:ascii="宋体" w:hAnsi="宋体" w:cs="宋体"/>
          <w:b/>
          <w:color w:val="auto"/>
          <w:sz w:val="28"/>
          <w:szCs w:val="28"/>
          <w:highlight w:val="none"/>
        </w:rPr>
      </w:pPr>
    </w:p>
    <w:p w14:paraId="63EEB49D">
      <w:pPr>
        <w:spacing w:line="360" w:lineRule="auto"/>
        <w:jc w:val="center"/>
        <w:outlineLvl w:val="2"/>
        <w:rPr>
          <w:rFonts w:ascii="宋体" w:hAnsi="宋体" w:cs="宋体"/>
          <w:b/>
          <w:color w:val="auto"/>
          <w:sz w:val="28"/>
          <w:szCs w:val="28"/>
          <w:highlight w:val="none"/>
        </w:rPr>
      </w:pPr>
    </w:p>
    <w:p w14:paraId="12D999C3">
      <w:pPr>
        <w:spacing w:line="360" w:lineRule="auto"/>
        <w:jc w:val="center"/>
        <w:outlineLvl w:val="2"/>
        <w:rPr>
          <w:rFonts w:ascii="宋体" w:hAnsi="宋体" w:cs="宋体"/>
          <w:b/>
          <w:color w:val="auto"/>
          <w:sz w:val="28"/>
          <w:szCs w:val="28"/>
          <w:highlight w:val="none"/>
        </w:rPr>
      </w:pPr>
    </w:p>
    <w:p w14:paraId="3262EAA4">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14:paraId="4B027562">
      <w:pPr>
        <w:pStyle w:val="29"/>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14:paraId="189883E0">
      <w:pPr>
        <w:pStyle w:val="29"/>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20"/>
        <w:tblW w:w="508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3"/>
        <w:gridCol w:w="1071"/>
        <w:gridCol w:w="2222"/>
        <w:gridCol w:w="998"/>
        <w:gridCol w:w="1010"/>
        <w:gridCol w:w="976"/>
        <w:gridCol w:w="1465"/>
        <w:gridCol w:w="1342"/>
      </w:tblGrid>
      <w:tr w14:paraId="63E43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tcPr>
          <w:p w14:paraId="56204F9E">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1071" w:type="dxa"/>
            <w:vAlign w:val="center"/>
          </w:tcPr>
          <w:p w14:paraId="27F83E62">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2222" w:type="dxa"/>
          </w:tcPr>
          <w:p w14:paraId="31B6556D">
            <w:pPr>
              <w:pStyle w:val="29"/>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货物</w:t>
            </w:r>
            <w:r>
              <w:rPr>
                <w:rFonts w:ascii="宋体" w:hAnsi="宋体" w:cs="宋体"/>
                <w:b w:val="0"/>
                <w:bCs w:val="0"/>
                <w:color w:val="auto"/>
                <w:sz w:val="24"/>
                <w:szCs w:val="24"/>
                <w:highlight w:val="none"/>
              </w:rPr>
              <w:t>名称</w:t>
            </w:r>
          </w:p>
        </w:tc>
        <w:tc>
          <w:tcPr>
            <w:tcW w:w="998" w:type="dxa"/>
            <w:vAlign w:val="center"/>
          </w:tcPr>
          <w:p w14:paraId="74FDE911">
            <w:pPr>
              <w:widowControl/>
              <w:jc w:val="center"/>
              <w:textAlignment w:val="center"/>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单位</w:t>
            </w:r>
          </w:p>
        </w:tc>
        <w:tc>
          <w:tcPr>
            <w:tcW w:w="1010" w:type="dxa"/>
            <w:vAlign w:val="center"/>
          </w:tcPr>
          <w:p w14:paraId="5A18B317">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数量</w:t>
            </w:r>
          </w:p>
        </w:tc>
        <w:tc>
          <w:tcPr>
            <w:tcW w:w="976" w:type="dxa"/>
          </w:tcPr>
          <w:p w14:paraId="0B2EA508">
            <w:pPr>
              <w:pStyle w:val="29"/>
              <w:widowControl w:val="0"/>
              <w:spacing w:line="360" w:lineRule="auto"/>
              <w:jc w:val="center"/>
              <w:rPr>
                <w:rFonts w:hint="default" w:ascii="宋体" w:hAnsi="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品牌</w:t>
            </w:r>
          </w:p>
        </w:tc>
        <w:tc>
          <w:tcPr>
            <w:tcW w:w="1465" w:type="dxa"/>
          </w:tcPr>
          <w:p w14:paraId="39C40650">
            <w:pPr>
              <w:pStyle w:val="29"/>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规格/型号</w:t>
            </w:r>
          </w:p>
        </w:tc>
        <w:tc>
          <w:tcPr>
            <w:tcW w:w="1342" w:type="dxa"/>
          </w:tcPr>
          <w:p w14:paraId="035EF3D3">
            <w:pPr>
              <w:pStyle w:val="29"/>
              <w:widowControl w:val="0"/>
              <w:spacing w:line="360" w:lineRule="auto"/>
              <w:jc w:val="center"/>
              <w:rPr>
                <w:rFonts w:ascii="宋体" w:hAnsi="宋体" w:cs="宋体"/>
                <w:b w:val="0"/>
                <w:bCs w:val="0"/>
                <w:color w:val="auto"/>
                <w:sz w:val="24"/>
                <w:szCs w:val="24"/>
                <w:highlight w:val="none"/>
              </w:rPr>
            </w:pPr>
            <w:r>
              <w:rPr>
                <w:rFonts w:hint="eastAsia" w:ascii="宋体" w:hAnsi="宋体" w:cs="宋体"/>
                <w:bCs/>
                <w:color w:val="auto"/>
                <w:kern w:val="2"/>
                <w:sz w:val="24"/>
                <w:szCs w:val="24"/>
                <w:highlight w:val="none"/>
                <w:lang w:val="en-US" w:eastAsia="zh-CN" w:bidi="ar-SA"/>
              </w:rPr>
              <w:t>备注</w:t>
            </w:r>
          </w:p>
        </w:tc>
      </w:tr>
      <w:tr w14:paraId="48E3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vMerge w:val="restart"/>
            <w:vAlign w:val="center"/>
          </w:tcPr>
          <w:p w14:paraId="07484919">
            <w:pPr>
              <w:pStyle w:val="29"/>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1071" w:type="dxa"/>
            <w:vAlign w:val="center"/>
          </w:tcPr>
          <w:p w14:paraId="0DC78F1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2222" w:type="dxa"/>
            <w:vAlign w:val="center"/>
          </w:tcPr>
          <w:p w14:paraId="5FEE2C89">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核心交换机</w:t>
            </w:r>
          </w:p>
        </w:tc>
        <w:tc>
          <w:tcPr>
            <w:tcW w:w="998" w:type="dxa"/>
            <w:vAlign w:val="center"/>
          </w:tcPr>
          <w:p w14:paraId="52D1E1F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1010" w:type="dxa"/>
            <w:vAlign w:val="center"/>
          </w:tcPr>
          <w:p w14:paraId="3D031EC9">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w:t>
            </w:r>
          </w:p>
        </w:tc>
        <w:tc>
          <w:tcPr>
            <w:tcW w:w="976" w:type="dxa"/>
          </w:tcPr>
          <w:p w14:paraId="1B000F46">
            <w:pPr>
              <w:spacing w:line="360" w:lineRule="auto"/>
              <w:rPr>
                <w:rFonts w:ascii="宋体" w:hAnsi="宋体" w:cs="宋体"/>
                <w:color w:val="auto"/>
                <w:sz w:val="24"/>
                <w:highlight w:val="none"/>
              </w:rPr>
            </w:pPr>
          </w:p>
        </w:tc>
        <w:tc>
          <w:tcPr>
            <w:tcW w:w="1465" w:type="dxa"/>
          </w:tcPr>
          <w:p w14:paraId="4E0F0236">
            <w:pPr>
              <w:spacing w:line="360" w:lineRule="auto"/>
              <w:rPr>
                <w:rFonts w:ascii="宋体" w:hAnsi="宋体" w:cs="宋体"/>
                <w:color w:val="auto"/>
                <w:sz w:val="24"/>
                <w:highlight w:val="none"/>
              </w:rPr>
            </w:pPr>
          </w:p>
        </w:tc>
        <w:tc>
          <w:tcPr>
            <w:tcW w:w="1342" w:type="dxa"/>
          </w:tcPr>
          <w:p w14:paraId="567EE9F9">
            <w:pPr>
              <w:spacing w:line="360" w:lineRule="auto"/>
              <w:rPr>
                <w:rFonts w:ascii="宋体" w:hAnsi="宋体" w:cs="宋体"/>
                <w:color w:val="auto"/>
                <w:sz w:val="24"/>
                <w:highlight w:val="none"/>
              </w:rPr>
            </w:pPr>
          </w:p>
        </w:tc>
      </w:tr>
      <w:tr w14:paraId="1C6D3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vMerge w:val="continue"/>
          </w:tcPr>
          <w:p w14:paraId="332553E9">
            <w:pPr>
              <w:pStyle w:val="29"/>
              <w:widowControl w:val="0"/>
              <w:spacing w:line="360" w:lineRule="auto"/>
              <w:jc w:val="both"/>
              <w:rPr>
                <w:rFonts w:hint="default" w:ascii="宋体" w:hAnsi="宋体" w:cs="宋体"/>
                <w:b w:val="0"/>
                <w:bCs w:val="0"/>
                <w:color w:val="auto"/>
                <w:sz w:val="24"/>
                <w:szCs w:val="24"/>
                <w:highlight w:val="none"/>
              </w:rPr>
            </w:pPr>
          </w:p>
        </w:tc>
        <w:tc>
          <w:tcPr>
            <w:tcW w:w="1071" w:type="dxa"/>
            <w:vAlign w:val="center"/>
          </w:tcPr>
          <w:p w14:paraId="496D27F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2222" w:type="dxa"/>
            <w:vAlign w:val="center"/>
          </w:tcPr>
          <w:p w14:paraId="3C10ACE6">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入侵防御系统</w:t>
            </w:r>
          </w:p>
        </w:tc>
        <w:tc>
          <w:tcPr>
            <w:tcW w:w="998" w:type="dxa"/>
            <w:vAlign w:val="center"/>
          </w:tcPr>
          <w:p w14:paraId="195FD756">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1010" w:type="dxa"/>
            <w:vAlign w:val="center"/>
          </w:tcPr>
          <w:p w14:paraId="074FF2C4">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976" w:type="dxa"/>
          </w:tcPr>
          <w:p w14:paraId="35F3681B">
            <w:pPr>
              <w:spacing w:line="360" w:lineRule="auto"/>
              <w:rPr>
                <w:rFonts w:ascii="宋体" w:hAnsi="宋体" w:cs="宋体"/>
                <w:color w:val="auto"/>
                <w:sz w:val="24"/>
                <w:highlight w:val="none"/>
              </w:rPr>
            </w:pPr>
          </w:p>
        </w:tc>
        <w:tc>
          <w:tcPr>
            <w:tcW w:w="1465" w:type="dxa"/>
          </w:tcPr>
          <w:p w14:paraId="3971DF2F">
            <w:pPr>
              <w:spacing w:line="360" w:lineRule="auto"/>
              <w:rPr>
                <w:rFonts w:ascii="宋体" w:hAnsi="宋体" w:cs="宋体"/>
                <w:color w:val="auto"/>
                <w:sz w:val="24"/>
                <w:highlight w:val="none"/>
              </w:rPr>
            </w:pPr>
          </w:p>
        </w:tc>
        <w:tc>
          <w:tcPr>
            <w:tcW w:w="1342" w:type="dxa"/>
          </w:tcPr>
          <w:p w14:paraId="28ECF3B7">
            <w:pPr>
              <w:spacing w:line="360" w:lineRule="auto"/>
              <w:rPr>
                <w:rFonts w:ascii="宋体" w:hAnsi="宋体" w:cs="宋体"/>
                <w:color w:val="auto"/>
                <w:sz w:val="24"/>
                <w:highlight w:val="none"/>
              </w:rPr>
            </w:pPr>
          </w:p>
        </w:tc>
      </w:tr>
      <w:tr w14:paraId="4A2D3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jc w:val="center"/>
        </w:trPr>
        <w:tc>
          <w:tcPr>
            <w:tcW w:w="1053" w:type="dxa"/>
            <w:vMerge w:val="continue"/>
          </w:tcPr>
          <w:p w14:paraId="77C72FBA">
            <w:pPr>
              <w:pStyle w:val="29"/>
              <w:widowControl w:val="0"/>
              <w:spacing w:line="360" w:lineRule="auto"/>
              <w:jc w:val="both"/>
              <w:rPr>
                <w:rFonts w:hint="default" w:ascii="宋体" w:hAnsi="宋体" w:cs="宋体"/>
                <w:b w:val="0"/>
                <w:bCs w:val="0"/>
                <w:color w:val="auto"/>
                <w:sz w:val="24"/>
                <w:szCs w:val="24"/>
                <w:highlight w:val="none"/>
              </w:rPr>
            </w:pPr>
          </w:p>
        </w:tc>
        <w:tc>
          <w:tcPr>
            <w:tcW w:w="1071" w:type="dxa"/>
            <w:vAlign w:val="center"/>
          </w:tcPr>
          <w:p w14:paraId="57E9E7A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2222" w:type="dxa"/>
            <w:vAlign w:val="center"/>
          </w:tcPr>
          <w:p w14:paraId="282597CD">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单模</w:t>
            </w:r>
            <w:r>
              <w:rPr>
                <w:rFonts w:hint="eastAsia" w:asciiTheme="minorEastAsia" w:hAnsiTheme="minorEastAsia" w:eastAsiaTheme="minorEastAsia" w:cstheme="minorEastAsia"/>
                <w:color w:val="auto"/>
                <w:sz w:val="24"/>
                <w:szCs w:val="24"/>
                <w:highlight w:val="none"/>
                <w:lang w:eastAsia="zh-CN"/>
              </w:rPr>
              <w:t>）</w:t>
            </w:r>
          </w:p>
        </w:tc>
        <w:tc>
          <w:tcPr>
            <w:tcW w:w="998" w:type="dxa"/>
            <w:vAlign w:val="center"/>
          </w:tcPr>
          <w:p w14:paraId="55C61AC9">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个</w:t>
            </w:r>
          </w:p>
        </w:tc>
        <w:tc>
          <w:tcPr>
            <w:tcW w:w="1010" w:type="dxa"/>
            <w:vAlign w:val="center"/>
          </w:tcPr>
          <w:p w14:paraId="05DFCB1B">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96</w:t>
            </w:r>
          </w:p>
        </w:tc>
        <w:tc>
          <w:tcPr>
            <w:tcW w:w="976" w:type="dxa"/>
          </w:tcPr>
          <w:p w14:paraId="0246F766">
            <w:pPr>
              <w:spacing w:line="360" w:lineRule="auto"/>
              <w:rPr>
                <w:rFonts w:ascii="宋体" w:hAnsi="宋体" w:cs="宋体"/>
                <w:color w:val="auto"/>
                <w:sz w:val="24"/>
                <w:highlight w:val="none"/>
              </w:rPr>
            </w:pPr>
          </w:p>
        </w:tc>
        <w:tc>
          <w:tcPr>
            <w:tcW w:w="1465" w:type="dxa"/>
          </w:tcPr>
          <w:p w14:paraId="47DF67DE">
            <w:pPr>
              <w:spacing w:line="360" w:lineRule="auto"/>
              <w:rPr>
                <w:rFonts w:ascii="宋体" w:hAnsi="宋体" w:cs="宋体"/>
                <w:color w:val="auto"/>
                <w:sz w:val="24"/>
                <w:highlight w:val="none"/>
              </w:rPr>
            </w:pPr>
          </w:p>
        </w:tc>
        <w:tc>
          <w:tcPr>
            <w:tcW w:w="1342" w:type="dxa"/>
          </w:tcPr>
          <w:p w14:paraId="255B25D6">
            <w:pPr>
              <w:spacing w:line="360" w:lineRule="auto"/>
              <w:rPr>
                <w:rFonts w:ascii="宋体" w:hAnsi="宋体" w:cs="宋体"/>
                <w:color w:val="auto"/>
                <w:sz w:val="24"/>
                <w:highlight w:val="none"/>
              </w:rPr>
            </w:pPr>
          </w:p>
        </w:tc>
      </w:tr>
      <w:tr w14:paraId="60674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vMerge w:val="continue"/>
          </w:tcPr>
          <w:p w14:paraId="584E9145">
            <w:pPr>
              <w:pStyle w:val="29"/>
              <w:widowControl w:val="0"/>
              <w:spacing w:line="360" w:lineRule="auto"/>
              <w:jc w:val="both"/>
              <w:rPr>
                <w:rFonts w:hint="default" w:ascii="宋体" w:hAnsi="宋体" w:cs="宋体"/>
                <w:b w:val="0"/>
                <w:bCs w:val="0"/>
                <w:color w:val="auto"/>
                <w:sz w:val="24"/>
                <w:szCs w:val="24"/>
                <w:highlight w:val="none"/>
              </w:rPr>
            </w:pPr>
          </w:p>
        </w:tc>
        <w:tc>
          <w:tcPr>
            <w:tcW w:w="1071" w:type="dxa"/>
            <w:vAlign w:val="center"/>
          </w:tcPr>
          <w:p w14:paraId="3CBA7BC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2222" w:type="dxa"/>
            <w:vAlign w:val="center"/>
          </w:tcPr>
          <w:p w14:paraId="46380AB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多模</w:t>
            </w:r>
            <w:r>
              <w:rPr>
                <w:rFonts w:hint="eastAsia" w:asciiTheme="minorEastAsia" w:hAnsiTheme="minorEastAsia" w:eastAsiaTheme="minorEastAsia" w:cstheme="minorEastAsia"/>
                <w:color w:val="auto"/>
                <w:sz w:val="24"/>
                <w:szCs w:val="24"/>
                <w:highlight w:val="none"/>
                <w:lang w:eastAsia="zh-CN"/>
              </w:rPr>
              <w:t>）</w:t>
            </w:r>
          </w:p>
        </w:tc>
        <w:tc>
          <w:tcPr>
            <w:tcW w:w="998" w:type="dxa"/>
            <w:vAlign w:val="center"/>
          </w:tcPr>
          <w:p w14:paraId="4483AFE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个</w:t>
            </w:r>
          </w:p>
        </w:tc>
        <w:tc>
          <w:tcPr>
            <w:tcW w:w="1010" w:type="dxa"/>
            <w:vAlign w:val="center"/>
          </w:tcPr>
          <w:p w14:paraId="652DF9C4">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20</w:t>
            </w:r>
          </w:p>
        </w:tc>
        <w:tc>
          <w:tcPr>
            <w:tcW w:w="976" w:type="dxa"/>
          </w:tcPr>
          <w:p w14:paraId="0D673BB4">
            <w:pPr>
              <w:spacing w:line="360" w:lineRule="auto"/>
              <w:rPr>
                <w:rFonts w:ascii="宋体" w:hAnsi="宋体" w:cs="宋体"/>
                <w:color w:val="auto"/>
                <w:sz w:val="24"/>
                <w:highlight w:val="none"/>
              </w:rPr>
            </w:pPr>
          </w:p>
        </w:tc>
        <w:tc>
          <w:tcPr>
            <w:tcW w:w="1465" w:type="dxa"/>
          </w:tcPr>
          <w:p w14:paraId="1FB43A17">
            <w:pPr>
              <w:spacing w:line="360" w:lineRule="auto"/>
              <w:rPr>
                <w:rFonts w:ascii="宋体" w:hAnsi="宋体" w:cs="宋体"/>
                <w:color w:val="auto"/>
                <w:sz w:val="24"/>
                <w:highlight w:val="none"/>
              </w:rPr>
            </w:pPr>
          </w:p>
        </w:tc>
        <w:tc>
          <w:tcPr>
            <w:tcW w:w="1342" w:type="dxa"/>
          </w:tcPr>
          <w:p w14:paraId="174E24A1">
            <w:pPr>
              <w:spacing w:line="360" w:lineRule="auto"/>
              <w:rPr>
                <w:rFonts w:ascii="宋体" w:hAnsi="宋体" w:cs="宋体"/>
                <w:color w:val="auto"/>
                <w:sz w:val="24"/>
                <w:highlight w:val="none"/>
              </w:rPr>
            </w:pPr>
          </w:p>
        </w:tc>
      </w:tr>
      <w:tr w14:paraId="1B0EA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vMerge w:val="continue"/>
          </w:tcPr>
          <w:p w14:paraId="04D03D30">
            <w:pPr>
              <w:pStyle w:val="29"/>
              <w:widowControl w:val="0"/>
              <w:spacing w:line="360" w:lineRule="auto"/>
              <w:jc w:val="both"/>
              <w:rPr>
                <w:rFonts w:hint="default" w:ascii="宋体" w:hAnsi="宋体" w:cs="宋体"/>
                <w:b w:val="0"/>
                <w:bCs w:val="0"/>
                <w:color w:val="auto"/>
                <w:sz w:val="24"/>
                <w:szCs w:val="24"/>
                <w:highlight w:val="none"/>
              </w:rPr>
            </w:pPr>
          </w:p>
        </w:tc>
        <w:tc>
          <w:tcPr>
            <w:tcW w:w="1071" w:type="dxa"/>
            <w:vAlign w:val="center"/>
          </w:tcPr>
          <w:p w14:paraId="478B8AA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2222" w:type="dxa"/>
            <w:vAlign w:val="center"/>
          </w:tcPr>
          <w:p w14:paraId="03F7D88F">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5米</w:t>
            </w:r>
            <w:r>
              <w:rPr>
                <w:rFonts w:hint="eastAsia" w:asciiTheme="minorEastAsia" w:hAnsiTheme="minorEastAsia" w:eastAsiaTheme="minorEastAsia" w:cstheme="minorEastAsia"/>
                <w:color w:val="auto"/>
                <w:sz w:val="24"/>
                <w:szCs w:val="24"/>
                <w:highlight w:val="none"/>
                <w:lang w:eastAsia="zh-CN"/>
              </w:rPr>
              <w:t>）</w:t>
            </w:r>
          </w:p>
        </w:tc>
        <w:tc>
          <w:tcPr>
            <w:tcW w:w="998" w:type="dxa"/>
            <w:vAlign w:val="center"/>
          </w:tcPr>
          <w:p w14:paraId="02D448E7">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条</w:t>
            </w:r>
          </w:p>
        </w:tc>
        <w:tc>
          <w:tcPr>
            <w:tcW w:w="1010" w:type="dxa"/>
            <w:vAlign w:val="center"/>
          </w:tcPr>
          <w:p w14:paraId="764EC122">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96</w:t>
            </w:r>
          </w:p>
        </w:tc>
        <w:tc>
          <w:tcPr>
            <w:tcW w:w="976" w:type="dxa"/>
          </w:tcPr>
          <w:p w14:paraId="171A3F7D">
            <w:pPr>
              <w:spacing w:line="360" w:lineRule="auto"/>
              <w:rPr>
                <w:rFonts w:ascii="宋体" w:hAnsi="宋体" w:cs="宋体"/>
                <w:color w:val="auto"/>
                <w:sz w:val="24"/>
                <w:highlight w:val="none"/>
              </w:rPr>
            </w:pPr>
          </w:p>
        </w:tc>
        <w:tc>
          <w:tcPr>
            <w:tcW w:w="1465" w:type="dxa"/>
          </w:tcPr>
          <w:p w14:paraId="30A888A3">
            <w:pPr>
              <w:spacing w:line="360" w:lineRule="auto"/>
              <w:rPr>
                <w:rFonts w:ascii="宋体" w:hAnsi="宋体" w:cs="宋体"/>
                <w:color w:val="auto"/>
                <w:sz w:val="24"/>
                <w:highlight w:val="none"/>
              </w:rPr>
            </w:pPr>
          </w:p>
        </w:tc>
        <w:tc>
          <w:tcPr>
            <w:tcW w:w="1342" w:type="dxa"/>
          </w:tcPr>
          <w:p w14:paraId="3A04D48C">
            <w:pPr>
              <w:spacing w:line="360" w:lineRule="auto"/>
              <w:rPr>
                <w:rFonts w:ascii="宋体" w:hAnsi="宋体" w:cs="宋体"/>
                <w:color w:val="auto"/>
                <w:sz w:val="24"/>
                <w:highlight w:val="none"/>
              </w:rPr>
            </w:pPr>
          </w:p>
        </w:tc>
      </w:tr>
      <w:tr w14:paraId="4C29F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vMerge w:val="continue"/>
          </w:tcPr>
          <w:p w14:paraId="650EE3C1">
            <w:pPr>
              <w:pStyle w:val="29"/>
              <w:widowControl w:val="0"/>
              <w:spacing w:line="360" w:lineRule="auto"/>
              <w:jc w:val="both"/>
              <w:rPr>
                <w:rFonts w:hint="default" w:ascii="宋体" w:hAnsi="宋体" w:cs="宋体"/>
                <w:b w:val="0"/>
                <w:bCs w:val="0"/>
                <w:color w:val="auto"/>
                <w:sz w:val="24"/>
                <w:szCs w:val="24"/>
                <w:highlight w:val="none"/>
              </w:rPr>
            </w:pPr>
          </w:p>
        </w:tc>
        <w:tc>
          <w:tcPr>
            <w:tcW w:w="1071" w:type="dxa"/>
            <w:vAlign w:val="center"/>
          </w:tcPr>
          <w:p w14:paraId="30FBA4A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2222" w:type="dxa"/>
            <w:vAlign w:val="center"/>
          </w:tcPr>
          <w:p w14:paraId="4DFC519C">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米</w:t>
            </w:r>
            <w:r>
              <w:rPr>
                <w:rFonts w:hint="eastAsia" w:asciiTheme="minorEastAsia" w:hAnsiTheme="minorEastAsia" w:eastAsiaTheme="minorEastAsia" w:cstheme="minorEastAsia"/>
                <w:color w:val="auto"/>
                <w:sz w:val="24"/>
                <w:szCs w:val="24"/>
                <w:highlight w:val="none"/>
                <w:lang w:eastAsia="zh-CN"/>
              </w:rPr>
              <w:t>）</w:t>
            </w:r>
          </w:p>
        </w:tc>
        <w:tc>
          <w:tcPr>
            <w:tcW w:w="998" w:type="dxa"/>
            <w:vAlign w:val="center"/>
          </w:tcPr>
          <w:p w14:paraId="5BAD8AE5">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条</w:t>
            </w:r>
          </w:p>
        </w:tc>
        <w:tc>
          <w:tcPr>
            <w:tcW w:w="1010" w:type="dxa"/>
            <w:vAlign w:val="center"/>
          </w:tcPr>
          <w:p w14:paraId="4166368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10</w:t>
            </w:r>
          </w:p>
        </w:tc>
        <w:tc>
          <w:tcPr>
            <w:tcW w:w="976" w:type="dxa"/>
          </w:tcPr>
          <w:p w14:paraId="2B4B9594">
            <w:pPr>
              <w:spacing w:line="360" w:lineRule="auto"/>
              <w:rPr>
                <w:rFonts w:ascii="宋体" w:hAnsi="宋体" w:cs="宋体"/>
                <w:color w:val="auto"/>
                <w:sz w:val="24"/>
                <w:highlight w:val="none"/>
              </w:rPr>
            </w:pPr>
          </w:p>
        </w:tc>
        <w:tc>
          <w:tcPr>
            <w:tcW w:w="1465" w:type="dxa"/>
          </w:tcPr>
          <w:p w14:paraId="412BA2FC">
            <w:pPr>
              <w:spacing w:line="360" w:lineRule="auto"/>
              <w:rPr>
                <w:rFonts w:ascii="宋体" w:hAnsi="宋体" w:cs="宋体"/>
                <w:color w:val="auto"/>
                <w:sz w:val="24"/>
                <w:highlight w:val="none"/>
              </w:rPr>
            </w:pPr>
          </w:p>
        </w:tc>
        <w:tc>
          <w:tcPr>
            <w:tcW w:w="1342" w:type="dxa"/>
          </w:tcPr>
          <w:p w14:paraId="5BA84CB1">
            <w:pPr>
              <w:spacing w:line="360" w:lineRule="auto"/>
              <w:rPr>
                <w:rFonts w:ascii="宋体" w:hAnsi="宋体" w:cs="宋体"/>
                <w:color w:val="auto"/>
                <w:sz w:val="24"/>
                <w:highlight w:val="none"/>
              </w:rPr>
            </w:pPr>
          </w:p>
        </w:tc>
      </w:tr>
      <w:tr w14:paraId="16D7C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53" w:type="dxa"/>
            <w:vMerge w:val="continue"/>
          </w:tcPr>
          <w:p w14:paraId="0D8AA048">
            <w:pPr>
              <w:pStyle w:val="29"/>
              <w:widowControl w:val="0"/>
              <w:spacing w:line="360" w:lineRule="auto"/>
              <w:jc w:val="both"/>
              <w:rPr>
                <w:rFonts w:hint="default" w:ascii="宋体" w:hAnsi="宋体" w:cs="宋体"/>
                <w:b w:val="0"/>
                <w:bCs w:val="0"/>
                <w:color w:val="auto"/>
                <w:sz w:val="24"/>
                <w:szCs w:val="24"/>
                <w:highlight w:val="none"/>
              </w:rPr>
            </w:pPr>
          </w:p>
        </w:tc>
        <w:tc>
          <w:tcPr>
            <w:tcW w:w="1071" w:type="dxa"/>
            <w:vAlign w:val="center"/>
          </w:tcPr>
          <w:p w14:paraId="4A71D3C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2222" w:type="dxa"/>
            <w:vAlign w:val="center"/>
          </w:tcPr>
          <w:p w14:paraId="302BE7A1">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人工辅材</w:t>
            </w:r>
          </w:p>
        </w:tc>
        <w:tc>
          <w:tcPr>
            <w:tcW w:w="998" w:type="dxa"/>
            <w:vAlign w:val="center"/>
          </w:tcPr>
          <w:p w14:paraId="3ACD4E8E">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项</w:t>
            </w:r>
          </w:p>
        </w:tc>
        <w:tc>
          <w:tcPr>
            <w:tcW w:w="1010" w:type="dxa"/>
            <w:vAlign w:val="center"/>
          </w:tcPr>
          <w:p w14:paraId="13F423BC">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976" w:type="dxa"/>
          </w:tcPr>
          <w:p w14:paraId="3ED9A58F">
            <w:pPr>
              <w:spacing w:line="360" w:lineRule="auto"/>
              <w:rPr>
                <w:rFonts w:ascii="宋体" w:hAnsi="宋体" w:cs="宋体"/>
                <w:color w:val="auto"/>
                <w:sz w:val="24"/>
                <w:highlight w:val="none"/>
              </w:rPr>
            </w:pPr>
          </w:p>
        </w:tc>
        <w:tc>
          <w:tcPr>
            <w:tcW w:w="1465" w:type="dxa"/>
          </w:tcPr>
          <w:p w14:paraId="07505560">
            <w:pPr>
              <w:spacing w:line="360" w:lineRule="auto"/>
              <w:rPr>
                <w:rFonts w:ascii="宋体" w:hAnsi="宋体" w:cs="宋体"/>
                <w:color w:val="auto"/>
                <w:sz w:val="24"/>
                <w:highlight w:val="none"/>
              </w:rPr>
            </w:pPr>
          </w:p>
        </w:tc>
        <w:tc>
          <w:tcPr>
            <w:tcW w:w="1342" w:type="dxa"/>
          </w:tcPr>
          <w:p w14:paraId="0198CA91">
            <w:pPr>
              <w:spacing w:line="360" w:lineRule="auto"/>
              <w:rPr>
                <w:rFonts w:ascii="宋体" w:hAnsi="宋体" w:cs="宋体"/>
                <w:color w:val="auto"/>
                <w:sz w:val="24"/>
                <w:highlight w:val="none"/>
              </w:rPr>
            </w:pPr>
          </w:p>
        </w:tc>
      </w:tr>
    </w:tbl>
    <w:p w14:paraId="060C0E70">
      <w:pPr>
        <w:pStyle w:val="29"/>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14:paraId="45B86EEB">
      <w:pPr>
        <w:pStyle w:val="29"/>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14:paraId="74D494E8">
      <w:pPr>
        <w:pStyle w:val="29"/>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1.1“采购包”、“品目号”、“货物名称”及“数量”应与第三章《采购标的一览表》中的有关内容（“采购包”、“品目号”、“货物名称”及“数量”）保持一致。</w:t>
      </w:r>
    </w:p>
    <w:p w14:paraId="4F2627A0">
      <w:pPr>
        <w:pStyle w:val="29"/>
        <w:spacing w:line="360" w:lineRule="auto"/>
        <w:ind w:firstLine="480"/>
        <w:jc w:val="both"/>
        <w:rPr>
          <w:rFonts w:hint="default" w:ascii="宋体" w:hAnsi="宋体" w:cs="宋体"/>
          <w:color w:val="auto"/>
          <w:sz w:val="24"/>
          <w:szCs w:val="24"/>
          <w:highlight w:val="none"/>
        </w:rPr>
      </w:pPr>
    </w:p>
    <w:p w14:paraId="3E0EEF31">
      <w:pPr>
        <w:pStyle w:val="29"/>
        <w:spacing w:line="360" w:lineRule="auto"/>
        <w:ind w:firstLine="480"/>
        <w:jc w:val="right"/>
        <w:rPr>
          <w:rFonts w:hint="default" w:ascii="宋体" w:hAnsi="宋体" w:cs="宋体"/>
          <w:color w:val="auto"/>
          <w:sz w:val="24"/>
          <w:szCs w:val="24"/>
          <w:highlight w:val="none"/>
        </w:rPr>
      </w:pPr>
    </w:p>
    <w:p w14:paraId="60737A55">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62D39D5D">
      <w:pPr>
        <w:pStyle w:val="29"/>
        <w:spacing w:line="360" w:lineRule="auto"/>
        <w:ind w:firstLine="480"/>
        <w:jc w:val="right"/>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17B01303">
      <w:pPr>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u w:val="single"/>
        </w:rPr>
        <w:br w:type="page"/>
      </w:r>
    </w:p>
    <w:p w14:paraId="527C077F">
      <w:pPr>
        <w:pStyle w:val="13"/>
        <w:rPr>
          <w:rFonts w:ascii="宋体" w:hAnsi="宋体" w:cs="宋体"/>
          <w:color w:val="auto"/>
          <w:sz w:val="24"/>
          <w:highlight w:val="none"/>
        </w:rPr>
      </w:pPr>
    </w:p>
    <w:p w14:paraId="194B86A3">
      <w:pPr>
        <w:pStyle w:val="13"/>
        <w:rPr>
          <w:rFonts w:ascii="宋体" w:hAnsi="宋体" w:cs="宋体"/>
          <w:color w:val="auto"/>
          <w:sz w:val="24"/>
          <w:highlight w:val="none"/>
        </w:rPr>
      </w:pPr>
    </w:p>
    <w:p w14:paraId="38FEEEF6">
      <w:pPr>
        <w:pStyle w:val="13"/>
        <w:numPr>
          <w:ilvl w:val="0"/>
          <w:numId w:val="4"/>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14:paraId="409397E2">
      <w:pPr>
        <w:pStyle w:val="13"/>
        <w:rPr>
          <w:rFonts w:ascii="宋体" w:hAnsi="宋体" w:cs="宋体"/>
          <w:b/>
          <w:bCs/>
          <w:color w:val="auto"/>
          <w:sz w:val="28"/>
          <w:szCs w:val="28"/>
          <w:highlight w:val="none"/>
        </w:rPr>
      </w:pPr>
    </w:p>
    <w:p w14:paraId="29C2F265">
      <w:pPr>
        <w:pStyle w:val="16"/>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20"/>
        <w:tblW w:w="4995" w:type="pct"/>
        <w:tblInd w:w="0" w:type="dxa"/>
        <w:tblLayout w:type="fixed"/>
        <w:tblCellMar>
          <w:top w:w="0" w:type="dxa"/>
          <w:left w:w="0" w:type="dxa"/>
          <w:bottom w:w="0" w:type="dxa"/>
          <w:right w:w="0" w:type="dxa"/>
        </w:tblCellMar>
      </w:tblPr>
      <w:tblGrid>
        <w:gridCol w:w="960"/>
        <w:gridCol w:w="3641"/>
        <w:gridCol w:w="3332"/>
        <w:gridCol w:w="2043"/>
      </w:tblGrid>
      <w:tr w14:paraId="05212D68">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A2E230">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11A31B">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FEC448">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CC5BDEC">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14:paraId="319B850A">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519EED">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EFB0D9">
            <w:pPr>
              <w:pStyle w:val="16"/>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F9BF880">
            <w:pPr>
              <w:pStyle w:val="16"/>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FFC572">
            <w:pPr>
              <w:pStyle w:val="16"/>
              <w:wordWrap w:val="0"/>
              <w:spacing w:before="0" w:beforeAutospacing="0" w:after="0" w:afterAutospacing="0" w:line="480" w:lineRule="atLeast"/>
              <w:jc w:val="center"/>
              <w:rPr>
                <w:color w:val="auto"/>
                <w:highlight w:val="none"/>
              </w:rPr>
            </w:pPr>
          </w:p>
        </w:tc>
      </w:tr>
      <w:tr w14:paraId="4121A072">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4EEC2B">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0E4118">
            <w:pPr>
              <w:pStyle w:val="16"/>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EFEBA5">
            <w:pPr>
              <w:pStyle w:val="16"/>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A74A9C0">
            <w:pPr>
              <w:pStyle w:val="16"/>
              <w:wordWrap w:val="0"/>
              <w:spacing w:before="0" w:beforeAutospacing="0" w:after="0" w:afterAutospacing="0" w:line="480" w:lineRule="atLeast"/>
              <w:jc w:val="center"/>
              <w:rPr>
                <w:color w:val="auto"/>
                <w:highlight w:val="none"/>
              </w:rPr>
            </w:pPr>
          </w:p>
        </w:tc>
      </w:tr>
      <w:tr w14:paraId="6AF32866">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E0EDBF">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03CD3F">
            <w:pPr>
              <w:pStyle w:val="16"/>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B7932F9">
            <w:pPr>
              <w:pStyle w:val="16"/>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6E1CD9">
            <w:pPr>
              <w:pStyle w:val="16"/>
              <w:wordWrap w:val="0"/>
              <w:spacing w:before="0" w:beforeAutospacing="0" w:after="0" w:afterAutospacing="0" w:line="480" w:lineRule="atLeast"/>
              <w:jc w:val="center"/>
              <w:rPr>
                <w:color w:val="auto"/>
                <w:highlight w:val="none"/>
              </w:rPr>
            </w:pPr>
          </w:p>
        </w:tc>
      </w:tr>
    </w:tbl>
    <w:p w14:paraId="2BA421D5">
      <w:pPr>
        <w:pStyle w:val="16"/>
        <w:spacing w:before="0" w:beforeAutospacing="0" w:after="0" w:afterAutospacing="0" w:line="360" w:lineRule="auto"/>
        <w:rPr>
          <w:b/>
          <w:bCs/>
          <w:color w:val="auto"/>
          <w:highlight w:val="none"/>
        </w:rPr>
      </w:pPr>
      <w:r>
        <w:rPr>
          <w:rFonts w:hint="eastAsia"/>
          <w:b/>
          <w:bCs/>
          <w:color w:val="auto"/>
          <w:highlight w:val="none"/>
        </w:rPr>
        <w:t>注：</w:t>
      </w:r>
    </w:p>
    <w:p w14:paraId="633BABA6">
      <w:pPr>
        <w:pStyle w:val="16"/>
        <w:numPr>
          <w:ilvl w:val="0"/>
          <w:numId w:val="5"/>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val="en-US" w:eastAsia="zh-CN"/>
        </w:rPr>
        <w:t>竞价</w:t>
      </w:r>
      <w:r>
        <w:rPr>
          <w:rFonts w:hint="eastAsia"/>
          <w:b/>
          <w:bCs/>
          <w:color w:val="auto"/>
          <w:highlight w:val="none"/>
        </w:rPr>
        <w:t>保证金（如果未签订合同）将不予退还，给采购人和采购代理机构造成损失的，还必须进行赔偿并负相关责任。</w:t>
      </w:r>
    </w:p>
    <w:p w14:paraId="05429A65">
      <w:pPr>
        <w:pStyle w:val="29"/>
        <w:spacing w:line="360" w:lineRule="auto"/>
        <w:ind w:firstLine="480"/>
        <w:jc w:val="right"/>
        <w:rPr>
          <w:rFonts w:hint="default" w:ascii="宋体" w:hAnsi="宋体" w:cs="宋体"/>
          <w:color w:val="auto"/>
          <w:sz w:val="24"/>
          <w:szCs w:val="24"/>
          <w:highlight w:val="none"/>
        </w:rPr>
      </w:pPr>
    </w:p>
    <w:p w14:paraId="2721625A">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C172912">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80F6C90">
      <w:pPr>
        <w:pStyle w:val="7"/>
        <w:spacing w:line="360" w:lineRule="auto"/>
        <w:ind w:left="0" w:leftChars="0"/>
        <w:rPr>
          <w:rFonts w:ascii="宋体" w:hAnsi="宋体" w:cs="宋体"/>
          <w:color w:val="auto"/>
          <w:sz w:val="24"/>
          <w:highlight w:val="none"/>
        </w:rPr>
      </w:pPr>
    </w:p>
    <w:p w14:paraId="7DF8B973">
      <w:pPr>
        <w:pStyle w:val="13"/>
        <w:rPr>
          <w:rFonts w:ascii="宋体" w:hAnsi="宋体" w:cs="宋体"/>
          <w:color w:val="auto"/>
          <w:sz w:val="24"/>
          <w:highlight w:val="none"/>
        </w:rPr>
      </w:pPr>
    </w:p>
    <w:p w14:paraId="7F776DF7">
      <w:pPr>
        <w:pStyle w:val="13"/>
        <w:rPr>
          <w:rFonts w:ascii="宋体" w:hAnsi="宋体" w:cs="宋体"/>
          <w:color w:val="auto"/>
          <w:sz w:val="24"/>
          <w:highlight w:val="none"/>
        </w:rPr>
      </w:pPr>
    </w:p>
    <w:p w14:paraId="762449B6">
      <w:pPr>
        <w:pStyle w:val="7"/>
        <w:spacing w:line="360" w:lineRule="auto"/>
        <w:ind w:left="0" w:leftChars="0"/>
        <w:rPr>
          <w:rFonts w:ascii="宋体" w:hAnsi="宋体" w:cs="宋体"/>
          <w:b/>
          <w:bCs/>
          <w:color w:val="auto"/>
          <w:sz w:val="28"/>
          <w:szCs w:val="28"/>
          <w:highlight w:val="none"/>
        </w:rPr>
      </w:pPr>
    </w:p>
    <w:p w14:paraId="572DCEBD">
      <w:pPr>
        <w:pStyle w:val="7"/>
        <w:spacing w:line="360" w:lineRule="auto"/>
        <w:ind w:left="0" w:leftChars="0"/>
        <w:rPr>
          <w:rFonts w:ascii="宋体" w:hAnsi="宋体" w:cs="宋体"/>
          <w:b/>
          <w:bCs/>
          <w:color w:val="auto"/>
          <w:sz w:val="28"/>
          <w:szCs w:val="28"/>
          <w:highlight w:val="none"/>
        </w:rPr>
      </w:pPr>
    </w:p>
    <w:p w14:paraId="06234360">
      <w:pPr>
        <w:pStyle w:val="7"/>
        <w:spacing w:line="360" w:lineRule="auto"/>
        <w:ind w:left="0" w:leftChars="0"/>
        <w:rPr>
          <w:rFonts w:ascii="宋体" w:hAnsi="宋体" w:cs="宋体"/>
          <w:b/>
          <w:bCs/>
          <w:color w:val="auto"/>
          <w:sz w:val="28"/>
          <w:szCs w:val="28"/>
          <w:highlight w:val="none"/>
        </w:rPr>
      </w:pPr>
    </w:p>
    <w:p w14:paraId="33C86A63">
      <w:pPr>
        <w:pStyle w:val="7"/>
        <w:spacing w:line="360" w:lineRule="auto"/>
        <w:ind w:left="0" w:leftChars="0"/>
        <w:rPr>
          <w:rFonts w:ascii="宋体" w:hAnsi="宋体" w:cs="宋体"/>
          <w:b/>
          <w:bCs/>
          <w:color w:val="auto"/>
          <w:sz w:val="28"/>
          <w:szCs w:val="28"/>
          <w:highlight w:val="none"/>
        </w:rPr>
      </w:pPr>
    </w:p>
    <w:p w14:paraId="7808D780">
      <w:pPr>
        <w:pStyle w:val="7"/>
        <w:spacing w:line="360" w:lineRule="auto"/>
        <w:ind w:left="0" w:leftChars="0"/>
        <w:rPr>
          <w:rFonts w:ascii="宋体" w:hAnsi="宋体" w:cs="宋体"/>
          <w:b/>
          <w:bCs/>
          <w:color w:val="auto"/>
          <w:sz w:val="28"/>
          <w:szCs w:val="28"/>
          <w:highlight w:val="none"/>
        </w:rPr>
      </w:pPr>
    </w:p>
    <w:p w14:paraId="609535CD">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14:paraId="03767D64">
      <w:pPr>
        <w:pStyle w:val="7"/>
        <w:spacing w:line="360" w:lineRule="auto"/>
        <w:ind w:left="0" w:leftChars="0"/>
        <w:rPr>
          <w:rFonts w:ascii="宋体" w:hAnsi="宋体" w:cs="宋体"/>
          <w:b/>
          <w:bCs/>
          <w:color w:val="auto"/>
          <w:sz w:val="28"/>
          <w:szCs w:val="28"/>
          <w:highlight w:val="none"/>
        </w:rPr>
      </w:pPr>
    </w:p>
    <w:p w14:paraId="16E74FDD">
      <w:pPr>
        <w:pStyle w:val="13"/>
        <w:rPr>
          <w:rFonts w:ascii="宋体" w:hAnsi="宋体" w:cs="宋体"/>
          <w:b/>
          <w:bCs/>
          <w:color w:val="auto"/>
          <w:sz w:val="28"/>
          <w:szCs w:val="28"/>
          <w:highlight w:val="none"/>
        </w:rPr>
      </w:pPr>
    </w:p>
    <w:p w14:paraId="7D3EB4CD">
      <w:pPr>
        <w:pStyle w:val="13"/>
        <w:rPr>
          <w:rFonts w:ascii="宋体" w:hAnsi="宋体" w:cs="宋体"/>
          <w:b/>
          <w:bCs/>
          <w:color w:val="auto"/>
          <w:sz w:val="28"/>
          <w:szCs w:val="28"/>
          <w:highlight w:val="none"/>
        </w:rPr>
      </w:pPr>
    </w:p>
    <w:p w14:paraId="58C57969">
      <w:pPr>
        <w:pStyle w:val="7"/>
        <w:spacing w:line="360" w:lineRule="auto"/>
        <w:ind w:left="0" w:leftChars="0"/>
        <w:rPr>
          <w:rFonts w:ascii="宋体" w:hAnsi="宋体" w:cs="宋体"/>
          <w:b/>
          <w:bCs/>
          <w:color w:val="auto"/>
          <w:sz w:val="28"/>
          <w:szCs w:val="28"/>
          <w:highlight w:val="none"/>
        </w:rPr>
      </w:pPr>
    </w:p>
    <w:p w14:paraId="162E9B40">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14:paraId="3E5FA62E">
      <w:pPr>
        <w:pStyle w:val="13"/>
        <w:rPr>
          <w:rFonts w:ascii="宋体" w:hAnsi="宋体" w:cs="宋体"/>
          <w:b/>
          <w:bCs/>
          <w:color w:val="auto"/>
          <w:sz w:val="28"/>
          <w:szCs w:val="28"/>
          <w:highlight w:val="none"/>
        </w:rPr>
      </w:pPr>
    </w:p>
    <w:p w14:paraId="71A5A216">
      <w:pPr>
        <w:pStyle w:val="29"/>
        <w:spacing w:line="360" w:lineRule="auto"/>
        <w:ind w:firstLine="480"/>
        <w:jc w:val="right"/>
        <w:rPr>
          <w:rFonts w:hint="default" w:ascii="宋体" w:hAnsi="宋体" w:cs="宋体"/>
          <w:color w:val="auto"/>
          <w:sz w:val="24"/>
          <w:szCs w:val="24"/>
          <w:highlight w:val="none"/>
        </w:rPr>
      </w:pPr>
    </w:p>
    <w:p w14:paraId="3EE44A2A">
      <w:pPr>
        <w:pStyle w:val="29"/>
        <w:spacing w:line="360" w:lineRule="auto"/>
        <w:ind w:firstLine="480"/>
        <w:jc w:val="right"/>
        <w:rPr>
          <w:rFonts w:hint="default" w:ascii="宋体" w:hAnsi="宋体" w:cs="宋体"/>
          <w:color w:val="auto"/>
          <w:sz w:val="24"/>
          <w:szCs w:val="24"/>
          <w:highlight w:val="none"/>
        </w:rPr>
      </w:pPr>
    </w:p>
    <w:p w14:paraId="6A6C1C09">
      <w:pPr>
        <w:pStyle w:val="29"/>
        <w:spacing w:line="360" w:lineRule="auto"/>
        <w:ind w:firstLine="480"/>
        <w:jc w:val="right"/>
        <w:rPr>
          <w:rFonts w:hint="default" w:ascii="宋体" w:hAnsi="宋体" w:cs="宋体"/>
          <w:color w:val="auto"/>
          <w:sz w:val="24"/>
          <w:szCs w:val="24"/>
          <w:highlight w:val="none"/>
        </w:rPr>
      </w:pPr>
    </w:p>
    <w:p w14:paraId="7B0C3755">
      <w:pPr>
        <w:pStyle w:val="29"/>
        <w:spacing w:line="360" w:lineRule="auto"/>
        <w:ind w:firstLine="480"/>
        <w:jc w:val="right"/>
        <w:rPr>
          <w:rFonts w:hint="default" w:ascii="宋体" w:hAnsi="宋体" w:cs="宋体"/>
          <w:color w:val="auto"/>
          <w:sz w:val="24"/>
          <w:szCs w:val="24"/>
          <w:highlight w:val="none"/>
        </w:rPr>
      </w:pPr>
    </w:p>
    <w:p w14:paraId="3FE6EF33">
      <w:pPr>
        <w:pStyle w:val="29"/>
        <w:spacing w:line="360" w:lineRule="auto"/>
        <w:ind w:firstLine="480"/>
        <w:jc w:val="right"/>
        <w:rPr>
          <w:rFonts w:hint="default" w:ascii="宋体" w:hAnsi="宋体" w:cs="宋体"/>
          <w:color w:val="auto"/>
          <w:sz w:val="24"/>
          <w:szCs w:val="24"/>
          <w:highlight w:val="none"/>
        </w:rPr>
      </w:pPr>
    </w:p>
    <w:p w14:paraId="422C4657">
      <w:pPr>
        <w:pStyle w:val="29"/>
        <w:spacing w:line="360" w:lineRule="auto"/>
        <w:ind w:firstLine="480"/>
        <w:jc w:val="right"/>
        <w:rPr>
          <w:rFonts w:hint="default" w:ascii="宋体" w:hAnsi="宋体" w:cs="宋体"/>
          <w:color w:val="auto"/>
          <w:sz w:val="24"/>
          <w:szCs w:val="24"/>
          <w:highlight w:val="none"/>
        </w:rPr>
      </w:pPr>
    </w:p>
    <w:p w14:paraId="6ABFF2EF">
      <w:pPr>
        <w:pStyle w:val="29"/>
        <w:spacing w:line="360" w:lineRule="auto"/>
        <w:ind w:firstLine="480"/>
        <w:jc w:val="right"/>
        <w:rPr>
          <w:rFonts w:hint="default" w:ascii="宋体" w:hAnsi="宋体" w:cs="宋体"/>
          <w:color w:val="auto"/>
          <w:sz w:val="24"/>
          <w:szCs w:val="24"/>
          <w:highlight w:val="none"/>
        </w:rPr>
      </w:pPr>
    </w:p>
    <w:p w14:paraId="4ECCA7CE">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3D44DE09">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6BA5A55F">
      <w:pPr>
        <w:pStyle w:val="13"/>
        <w:rPr>
          <w:rFonts w:ascii="宋体" w:hAnsi="宋体" w:cs="宋体"/>
          <w:b/>
          <w:bCs/>
          <w:color w:val="auto"/>
          <w:sz w:val="28"/>
          <w:szCs w:val="28"/>
          <w:highlight w:val="none"/>
        </w:rPr>
      </w:pPr>
    </w:p>
    <w:p w14:paraId="66F2C1BD">
      <w:pPr>
        <w:pStyle w:val="7"/>
        <w:spacing w:line="360" w:lineRule="auto"/>
        <w:ind w:left="0" w:leftChars="0"/>
        <w:jc w:val="center"/>
        <w:rPr>
          <w:rFonts w:ascii="宋体" w:hAnsi="宋体" w:cs="宋体"/>
          <w:b/>
          <w:bCs/>
          <w:color w:val="auto"/>
          <w:sz w:val="28"/>
          <w:szCs w:val="28"/>
          <w:highlight w:val="none"/>
        </w:rPr>
      </w:pPr>
    </w:p>
    <w:p w14:paraId="1978975A">
      <w:pPr>
        <w:pStyle w:val="7"/>
        <w:spacing w:line="360" w:lineRule="auto"/>
        <w:ind w:left="0" w:leftChars="0"/>
        <w:jc w:val="center"/>
        <w:rPr>
          <w:rFonts w:ascii="宋体" w:hAnsi="宋体" w:cs="宋体"/>
          <w:b/>
          <w:bCs/>
          <w:color w:val="auto"/>
          <w:sz w:val="28"/>
          <w:szCs w:val="28"/>
          <w:highlight w:val="none"/>
        </w:rPr>
      </w:pPr>
    </w:p>
    <w:p w14:paraId="3C1AADDE">
      <w:pPr>
        <w:pStyle w:val="7"/>
        <w:spacing w:line="360" w:lineRule="auto"/>
        <w:ind w:left="0" w:leftChars="0"/>
        <w:jc w:val="center"/>
        <w:rPr>
          <w:rFonts w:ascii="宋体" w:hAnsi="宋体" w:cs="宋体"/>
          <w:b/>
          <w:bCs/>
          <w:color w:val="auto"/>
          <w:sz w:val="28"/>
          <w:szCs w:val="28"/>
          <w:highlight w:val="none"/>
        </w:rPr>
      </w:pPr>
    </w:p>
    <w:p w14:paraId="60345D26">
      <w:pPr>
        <w:pStyle w:val="7"/>
        <w:spacing w:line="360" w:lineRule="auto"/>
        <w:ind w:left="0" w:leftChars="0"/>
        <w:jc w:val="center"/>
        <w:rPr>
          <w:rFonts w:ascii="宋体" w:hAnsi="宋体" w:cs="宋体"/>
          <w:b/>
          <w:bCs/>
          <w:color w:val="auto"/>
          <w:sz w:val="28"/>
          <w:szCs w:val="28"/>
          <w:highlight w:val="none"/>
        </w:rPr>
      </w:pPr>
    </w:p>
    <w:p w14:paraId="20B450E0">
      <w:pPr>
        <w:pStyle w:val="7"/>
        <w:spacing w:line="360" w:lineRule="auto"/>
        <w:ind w:left="0" w:leftChars="0"/>
        <w:jc w:val="center"/>
        <w:rPr>
          <w:rFonts w:ascii="宋体" w:hAnsi="宋体" w:cs="宋体"/>
          <w:b/>
          <w:bCs/>
          <w:color w:val="auto"/>
          <w:sz w:val="28"/>
          <w:szCs w:val="28"/>
          <w:highlight w:val="none"/>
        </w:rPr>
      </w:pPr>
    </w:p>
    <w:p w14:paraId="543B31DA">
      <w:pPr>
        <w:pStyle w:val="7"/>
        <w:spacing w:line="360" w:lineRule="auto"/>
        <w:ind w:left="0" w:leftChars="0"/>
        <w:jc w:val="center"/>
        <w:rPr>
          <w:rFonts w:ascii="宋体" w:hAnsi="宋体" w:cs="宋体"/>
          <w:b/>
          <w:bCs/>
          <w:color w:val="auto"/>
          <w:sz w:val="28"/>
          <w:szCs w:val="28"/>
          <w:highlight w:val="none"/>
        </w:rPr>
      </w:pPr>
    </w:p>
    <w:p w14:paraId="5CB798A4">
      <w:pPr>
        <w:pStyle w:val="7"/>
        <w:spacing w:line="360" w:lineRule="auto"/>
        <w:ind w:left="0" w:leftChars="0"/>
        <w:jc w:val="center"/>
        <w:rPr>
          <w:rFonts w:ascii="宋体" w:hAnsi="宋体" w:cs="宋体"/>
          <w:b/>
          <w:bCs/>
          <w:color w:val="auto"/>
          <w:sz w:val="28"/>
          <w:szCs w:val="28"/>
          <w:highlight w:val="none"/>
        </w:rPr>
      </w:pPr>
    </w:p>
    <w:p w14:paraId="6EB4625C">
      <w:pPr>
        <w:pStyle w:val="7"/>
        <w:spacing w:line="360" w:lineRule="auto"/>
        <w:ind w:left="0" w:leftChars="0"/>
        <w:jc w:val="center"/>
        <w:rPr>
          <w:rFonts w:ascii="宋体" w:hAnsi="宋体" w:cs="宋体"/>
          <w:b/>
          <w:bCs/>
          <w:color w:val="auto"/>
          <w:sz w:val="24"/>
          <w:highlight w:val="none"/>
        </w:rPr>
      </w:pPr>
    </w:p>
    <w:p w14:paraId="72AF36CE">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14:paraId="1305101C">
      <w:pPr>
        <w:pStyle w:val="7"/>
        <w:spacing w:line="360" w:lineRule="auto"/>
        <w:ind w:left="0" w:leftChars="0"/>
        <w:jc w:val="both"/>
        <w:rPr>
          <w:rFonts w:ascii="宋体" w:hAnsi="宋体" w:cs="宋体"/>
          <w:b/>
          <w:bCs/>
          <w:color w:val="auto"/>
          <w:sz w:val="28"/>
          <w:szCs w:val="28"/>
          <w:highlight w:val="none"/>
        </w:rPr>
      </w:pPr>
    </w:p>
    <w:p w14:paraId="43A42BC5">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6A11FA2D">
      <w:pPr>
        <w:pStyle w:val="29"/>
        <w:spacing w:line="360" w:lineRule="auto"/>
        <w:jc w:val="both"/>
        <w:rPr>
          <w:rFonts w:hint="default" w:asciiTheme="minorEastAsia" w:hAnsiTheme="minorEastAsia" w:eastAsiaTheme="minorEastAsia" w:cstheme="minorEastAsia"/>
          <w:b/>
          <w:bCs/>
          <w:color w:val="auto"/>
          <w:sz w:val="24"/>
          <w:szCs w:val="24"/>
          <w:highlight w:val="none"/>
        </w:rPr>
      </w:pPr>
    </w:p>
    <w:p w14:paraId="4F412163">
      <w:pPr>
        <w:pStyle w:val="29"/>
        <w:spacing w:line="360" w:lineRule="auto"/>
        <w:ind w:firstLine="480"/>
        <w:jc w:val="center"/>
        <w:rPr>
          <w:rFonts w:hint="eastAsia" w:asciiTheme="minorEastAsia" w:hAnsiTheme="minorEastAsia" w:eastAsiaTheme="minorEastAsia" w:cstheme="minorEastAsia"/>
          <w:b/>
          <w:bCs/>
          <w:color w:val="auto"/>
          <w:sz w:val="24"/>
          <w:szCs w:val="24"/>
          <w:highlight w:val="none"/>
          <w:lang w:val="en-US" w:eastAsia="zh-CN"/>
        </w:rPr>
      </w:pPr>
      <w:r>
        <w:rPr>
          <w:rFonts w:hint="default" w:asciiTheme="minorEastAsia" w:hAnsiTheme="minorEastAsia" w:eastAsiaTheme="minorEastAsia" w:cstheme="minorEastAsia"/>
          <w:b/>
          <w:bCs/>
          <w:color w:val="auto"/>
          <w:sz w:val="24"/>
          <w:szCs w:val="24"/>
          <w:highlight w:val="none"/>
        </w:rPr>
        <w:t>①</w:t>
      </w:r>
      <w:r>
        <w:rPr>
          <w:rFonts w:hint="eastAsia" w:asciiTheme="minorEastAsia" w:hAnsiTheme="minorEastAsia" w:eastAsiaTheme="minorEastAsia" w:cstheme="minorEastAsia"/>
          <w:b/>
          <w:bCs/>
          <w:color w:val="auto"/>
          <w:sz w:val="24"/>
          <w:szCs w:val="24"/>
          <w:highlight w:val="none"/>
          <w:lang w:eastAsia="zh-CN"/>
        </w:rPr>
        <w:t>承诺函</w:t>
      </w:r>
      <w:r>
        <w:rPr>
          <w:rFonts w:hint="eastAsia" w:asciiTheme="minorEastAsia" w:hAnsiTheme="minorEastAsia" w:eastAsiaTheme="minorEastAsia" w:cstheme="minorEastAsia"/>
          <w:b/>
          <w:bCs/>
          <w:color w:val="auto"/>
          <w:sz w:val="24"/>
          <w:szCs w:val="24"/>
          <w:highlight w:val="none"/>
          <w:lang w:val="en-US" w:eastAsia="zh-CN"/>
        </w:rPr>
        <w:t>1</w:t>
      </w:r>
    </w:p>
    <w:p w14:paraId="0DEFA6F8">
      <w:pPr>
        <w:pStyle w:val="29"/>
        <w:spacing w:line="360" w:lineRule="auto"/>
        <w:ind w:firstLine="480"/>
        <w:jc w:val="center"/>
        <w:rPr>
          <w:rFonts w:hint="default"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设备支持双机热备，包含现有设备的重新组网等业务实施，根据现有业务需求交付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须提供承诺函，格式自拟，承诺所投产品能够实现标准双机热备（含配置同步</w:t>
      </w:r>
      <w:r>
        <w:rPr>
          <w:rFonts w:hint="eastAsia" w:asciiTheme="minorEastAsia" w:hAnsiTheme="minorEastAsia" w:eastAsiaTheme="minorEastAsia" w:cstheme="minorEastAsia"/>
          <w:b/>
          <w:bCs/>
          <w:color w:val="auto"/>
          <w:sz w:val="24"/>
          <w:szCs w:val="24"/>
          <w:highlight w:val="none"/>
          <w:lang w:val="en-US" w:eastAsia="zh-CN"/>
        </w:rPr>
        <w:t>等）</w:t>
      </w:r>
    </w:p>
    <w:p w14:paraId="11159872">
      <w:pPr>
        <w:pStyle w:val="29"/>
        <w:spacing w:line="360" w:lineRule="auto"/>
        <w:ind w:firstLine="480"/>
        <w:jc w:val="center"/>
        <w:rPr>
          <w:rFonts w:hint="default" w:asciiTheme="minorEastAsia" w:hAnsiTheme="minorEastAsia" w:eastAsiaTheme="minorEastAsia" w:cstheme="minorEastAsia"/>
          <w:b/>
          <w:bCs/>
          <w:color w:val="auto"/>
          <w:sz w:val="24"/>
          <w:szCs w:val="24"/>
          <w:highlight w:val="none"/>
          <w:lang w:eastAsia="zh-CN"/>
        </w:rPr>
      </w:pPr>
    </w:p>
    <w:p w14:paraId="26044736">
      <w:pPr>
        <w:pStyle w:val="29"/>
        <w:spacing w:line="360" w:lineRule="auto"/>
        <w:ind w:firstLine="480"/>
        <w:jc w:val="center"/>
        <w:rPr>
          <w:rFonts w:hint="eastAsia" w:asciiTheme="minorEastAsia" w:hAnsiTheme="minorEastAsia" w:eastAsiaTheme="minorEastAsia" w:cstheme="minorEastAsia"/>
          <w:b/>
          <w:bCs/>
          <w:color w:val="auto"/>
          <w:sz w:val="24"/>
          <w:szCs w:val="24"/>
          <w:highlight w:val="none"/>
          <w:lang w:val="en-US" w:eastAsia="zh-CN"/>
        </w:rPr>
      </w:pPr>
      <w:r>
        <w:rPr>
          <w:rFonts w:hint="default" w:asciiTheme="minorEastAsia" w:hAnsiTheme="minorEastAsia" w:eastAsiaTheme="minorEastAsia" w:cstheme="minorEastAsia"/>
          <w:b/>
          <w:bCs/>
          <w:color w:val="auto"/>
          <w:sz w:val="24"/>
          <w:szCs w:val="24"/>
          <w:highlight w:val="none"/>
          <w:lang w:eastAsia="zh-CN"/>
        </w:rPr>
        <w:t>②</w:t>
      </w:r>
      <w:r>
        <w:rPr>
          <w:rFonts w:hint="eastAsia" w:asciiTheme="minorEastAsia" w:hAnsiTheme="minorEastAsia" w:eastAsiaTheme="minorEastAsia" w:cstheme="minorEastAsia"/>
          <w:b/>
          <w:bCs/>
          <w:color w:val="auto"/>
          <w:sz w:val="24"/>
          <w:szCs w:val="24"/>
          <w:highlight w:val="none"/>
          <w:lang w:eastAsia="zh-CN"/>
        </w:rPr>
        <w:t>承诺函</w:t>
      </w:r>
      <w:r>
        <w:rPr>
          <w:rFonts w:hint="eastAsia" w:asciiTheme="minorEastAsia" w:hAnsiTheme="minorEastAsia" w:eastAsiaTheme="minorEastAsia" w:cstheme="minorEastAsia"/>
          <w:b/>
          <w:bCs/>
          <w:color w:val="auto"/>
          <w:sz w:val="24"/>
          <w:szCs w:val="24"/>
          <w:highlight w:val="none"/>
          <w:lang w:val="en-US" w:eastAsia="zh-CN"/>
        </w:rPr>
        <w:t>2</w:t>
      </w:r>
    </w:p>
    <w:p w14:paraId="42CDDB2D">
      <w:pPr>
        <w:pStyle w:val="29"/>
        <w:spacing w:line="360" w:lineRule="auto"/>
        <w:ind w:firstLine="48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可实现与监狱现有的入侵防御系统双机热备；</w:t>
      </w:r>
      <w:r>
        <w:rPr>
          <w:rFonts w:hint="eastAsia" w:asciiTheme="minorEastAsia" w:hAnsiTheme="minorEastAsia" w:eastAsiaTheme="minorEastAsia" w:cstheme="minorEastAsia"/>
          <w:b/>
          <w:bCs/>
          <w:color w:val="auto"/>
          <w:sz w:val="24"/>
          <w:szCs w:val="24"/>
          <w:highlight w:val="none"/>
        </w:rPr>
        <w:t>（须提供承诺函，格式自拟，承诺所投产品能够与监狱现有入侵防御系统实现标准双机热备（含配置同步</w:t>
      </w:r>
      <w:r>
        <w:rPr>
          <w:rFonts w:hint="eastAsia" w:asciiTheme="minorEastAsia" w:hAnsiTheme="minorEastAsia" w:eastAsiaTheme="minorEastAsia" w:cstheme="minorEastAsia"/>
          <w:b/>
          <w:bCs/>
          <w:color w:val="auto"/>
          <w:sz w:val="24"/>
          <w:szCs w:val="24"/>
          <w:highlight w:val="none"/>
          <w:lang w:val="en-US" w:eastAsia="zh-CN"/>
        </w:rPr>
        <w:t>等</w:t>
      </w:r>
      <w:r>
        <w:rPr>
          <w:rFonts w:hint="eastAsia" w:asciiTheme="minorEastAsia" w:hAnsiTheme="minorEastAsia" w:eastAsiaTheme="minorEastAsia" w:cstheme="minorEastAsia"/>
          <w:b/>
          <w:bCs/>
          <w:color w:val="auto"/>
          <w:sz w:val="24"/>
          <w:szCs w:val="24"/>
          <w:highlight w:val="none"/>
        </w:rPr>
        <w:t>）</w:t>
      </w:r>
    </w:p>
    <w:p w14:paraId="37997B51">
      <w:pPr>
        <w:pStyle w:val="29"/>
        <w:spacing w:line="360" w:lineRule="auto"/>
        <w:ind w:firstLine="4400" w:firstLineChars="1826"/>
        <w:jc w:val="both"/>
        <w:rPr>
          <w:rFonts w:hint="default" w:asciiTheme="minorEastAsia" w:hAnsiTheme="minorEastAsia" w:eastAsiaTheme="minorEastAsia" w:cstheme="minorEastAsia"/>
          <w:b/>
          <w:bCs/>
          <w:color w:val="auto"/>
          <w:sz w:val="24"/>
          <w:szCs w:val="24"/>
          <w:highlight w:val="none"/>
          <w:lang w:eastAsia="zh-CN"/>
        </w:rPr>
      </w:pPr>
    </w:p>
    <w:p w14:paraId="7EEA0A72">
      <w:pPr>
        <w:pStyle w:val="29"/>
        <w:spacing w:line="360" w:lineRule="auto"/>
        <w:ind w:firstLine="4400" w:firstLineChars="1826"/>
        <w:jc w:val="both"/>
        <w:rPr>
          <w:rFonts w:hint="default" w:asciiTheme="minorEastAsia" w:hAnsiTheme="minorEastAsia" w:eastAsiaTheme="minorEastAsia" w:cstheme="minorEastAsia"/>
          <w:b/>
          <w:bCs/>
          <w:color w:val="auto"/>
          <w:sz w:val="24"/>
          <w:szCs w:val="24"/>
          <w:highlight w:val="none"/>
          <w:lang w:eastAsia="zh-CN"/>
        </w:rPr>
      </w:pPr>
      <w:r>
        <w:rPr>
          <w:rFonts w:hint="default" w:asciiTheme="minorEastAsia" w:hAnsiTheme="minorEastAsia" w:eastAsiaTheme="minorEastAsia" w:cstheme="minorEastAsia"/>
          <w:b/>
          <w:bCs/>
          <w:color w:val="auto"/>
          <w:sz w:val="24"/>
          <w:szCs w:val="24"/>
          <w:highlight w:val="none"/>
          <w:lang w:eastAsia="zh-CN"/>
        </w:rPr>
        <w:t>③</w:t>
      </w:r>
      <w:r>
        <w:rPr>
          <w:rFonts w:hint="eastAsia" w:asciiTheme="minorEastAsia" w:hAnsiTheme="minorEastAsia" w:eastAsiaTheme="minorEastAsia" w:cstheme="minorEastAsia"/>
          <w:b/>
          <w:bCs/>
          <w:color w:val="auto"/>
          <w:sz w:val="24"/>
          <w:szCs w:val="24"/>
          <w:highlight w:val="none"/>
        </w:rPr>
        <w:t>检测报告复印件</w:t>
      </w:r>
    </w:p>
    <w:p w14:paraId="6D6C864C">
      <w:pPr>
        <w:pStyle w:val="29"/>
        <w:spacing w:line="360" w:lineRule="auto"/>
        <w:ind w:firstLine="480"/>
        <w:jc w:val="center"/>
        <w:rPr>
          <w:rFonts w:hint="default"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内置入侵防御特征库，支持特征</w:t>
      </w:r>
      <w:r>
        <w:rPr>
          <w:rFonts w:hint="eastAsia" w:asciiTheme="minorEastAsia" w:hAnsiTheme="minorEastAsia" w:eastAsiaTheme="minorEastAsia" w:cstheme="minorEastAsia"/>
          <w:color w:val="auto"/>
          <w:sz w:val="24"/>
          <w:szCs w:val="24"/>
          <w:highlight w:val="none"/>
          <w:lang w:val="en-US" w:eastAsia="zh-CN"/>
        </w:rPr>
        <w:t>自</w:t>
      </w:r>
      <w:r>
        <w:rPr>
          <w:rFonts w:hint="eastAsia" w:asciiTheme="minorEastAsia" w:hAnsiTheme="minorEastAsia" w:eastAsiaTheme="minorEastAsia" w:cstheme="minorEastAsia"/>
          <w:color w:val="auto"/>
          <w:sz w:val="24"/>
          <w:szCs w:val="24"/>
          <w:highlight w:val="none"/>
        </w:rPr>
        <w:t>定义；支持勒索病毒行为、挖矿行为、WEB安全、木马行为、漏洞攻击、暴力破解、弱口令、敏感数据这些类型的特征；支持信誉机制，可对僵木蠕、勒索、挖矿、DDOS、傀儡机多种恶意IP或域名进行检测和过滤。</w:t>
      </w:r>
      <w:r>
        <w:rPr>
          <w:rFonts w:hint="eastAsia" w:asciiTheme="minorEastAsia" w:hAnsiTheme="minorEastAsia" w:eastAsiaTheme="minorEastAsia" w:cstheme="minorEastAsia"/>
          <w:b/>
          <w:bCs/>
          <w:color w:val="auto"/>
          <w:sz w:val="24"/>
          <w:szCs w:val="24"/>
          <w:highlight w:val="none"/>
        </w:rPr>
        <w:t>【提供上述功能的CMA标识的检验检测机构出具的检测报告复印件（检测报告包含报告首页、对应功能测试页和报告尾页。】</w:t>
      </w:r>
    </w:p>
    <w:p w14:paraId="1BDB6472">
      <w:pPr>
        <w:pStyle w:val="29"/>
        <w:spacing w:line="360" w:lineRule="auto"/>
        <w:ind w:firstLine="480"/>
        <w:jc w:val="right"/>
        <w:rPr>
          <w:rFonts w:hint="default" w:ascii="宋体" w:hAnsi="宋体" w:cs="宋体"/>
          <w:color w:val="auto"/>
          <w:sz w:val="24"/>
          <w:szCs w:val="24"/>
          <w:highlight w:val="none"/>
        </w:rPr>
      </w:pPr>
    </w:p>
    <w:p w14:paraId="2E57AD02">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1B22B33A">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E189EE6">
      <w:pPr>
        <w:pStyle w:val="13"/>
        <w:rPr>
          <w:rFonts w:ascii="宋体" w:hAnsi="宋体" w:cs="宋体"/>
          <w:b/>
          <w:bCs/>
          <w:color w:val="auto"/>
          <w:sz w:val="28"/>
          <w:szCs w:val="28"/>
          <w:highlight w:val="none"/>
        </w:rPr>
      </w:pPr>
    </w:p>
    <w:p w14:paraId="1DF34AF7">
      <w:pPr>
        <w:pStyle w:val="13"/>
        <w:rPr>
          <w:rFonts w:ascii="宋体" w:hAnsi="宋体" w:cs="宋体"/>
          <w:color w:val="auto"/>
          <w:highlight w:val="none"/>
        </w:rPr>
      </w:pPr>
    </w:p>
    <w:p w14:paraId="695D551E">
      <w:pPr>
        <w:pStyle w:val="13"/>
        <w:rPr>
          <w:rFonts w:ascii="宋体" w:hAnsi="宋体" w:cs="宋体"/>
          <w:color w:val="auto"/>
          <w:highlight w:val="none"/>
        </w:rPr>
      </w:pPr>
    </w:p>
    <w:p w14:paraId="718F060E">
      <w:pPr>
        <w:pStyle w:val="13"/>
        <w:rPr>
          <w:rFonts w:ascii="宋体" w:hAnsi="宋体" w:cs="宋体"/>
          <w:color w:val="auto"/>
          <w:highlight w:val="none"/>
        </w:rPr>
      </w:pPr>
    </w:p>
    <w:p w14:paraId="0A00BD43">
      <w:pPr>
        <w:pStyle w:val="13"/>
        <w:rPr>
          <w:rFonts w:ascii="宋体" w:hAnsi="宋体" w:cs="宋体"/>
          <w:color w:val="auto"/>
          <w:highlight w:val="none"/>
        </w:rPr>
      </w:pPr>
    </w:p>
    <w:p w14:paraId="74442227">
      <w:pPr>
        <w:pStyle w:val="13"/>
        <w:rPr>
          <w:rFonts w:ascii="宋体" w:hAnsi="宋体" w:cs="宋体"/>
          <w:color w:val="auto"/>
          <w:highlight w:val="none"/>
        </w:rPr>
      </w:pPr>
    </w:p>
    <w:p w14:paraId="55836441">
      <w:pPr>
        <w:pStyle w:val="13"/>
        <w:rPr>
          <w:rFonts w:ascii="宋体" w:hAnsi="宋体" w:cs="宋体"/>
          <w:color w:val="auto"/>
          <w:highlight w:val="none"/>
        </w:rPr>
      </w:pPr>
    </w:p>
    <w:p w14:paraId="212EF893">
      <w:pPr>
        <w:pStyle w:val="13"/>
        <w:rPr>
          <w:rFonts w:ascii="宋体" w:hAnsi="宋体" w:cs="宋体"/>
          <w:color w:val="auto"/>
          <w:highlight w:val="none"/>
        </w:rPr>
      </w:pPr>
    </w:p>
    <w:p w14:paraId="46749A9F">
      <w:pPr>
        <w:pStyle w:val="13"/>
        <w:rPr>
          <w:rFonts w:ascii="宋体" w:hAnsi="宋体" w:cs="宋体"/>
          <w:color w:val="auto"/>
          <w:highlight w:val="none"/>
        </w:rPr>
      </w:pPr>
    </w:p>
    <w:p w14:paraId="15D57E27">
      <w:pPr>
        <w:pStyle w:val="13"/>
        <w:rPr>
          <w:rFonts w:ascii="宋体" w:hAnsi="宋体" w:cs="宋体"/>
          <w:color w:val="auto"/>
          <w:highlight w:val="none"/>
        </w:rPr>
      </w:pPr>
    </w:p>
    <w:p w14:paraId="062EFA29">
      <w:pPr>
        <w:pStyle w:val="13"/>
        <w:rPr>
          <w:rFonts w:ascii="宋体" w:hAnsi="宋体" w:cs="宋体"/>
          <w:color w:val="auto"/>
          <w:highlight w:val="none"/>
        </w:rPr>
      </w:pPr>
    </w:p>
    <w:p w14:paraId="00A7FC00">
      <w:pPr>
        <w:pStyle w:val="13"/>
        <w:rPr>
          <w:rFonts w:ascii="宋体" w:hAnsi="宋体" w:cs="宋体"/>
          <w:color w:val="auto"/>
          <w:highlight w:val="none"/>
        </w:rPr>
      </w:pPr>
    </w:p>
    <w:p w14:paraId="2013516B">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5C86702">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14:paraId="1A9250E3">
      <w:pPr>
        <w:pStyle w:val="6"/>
        <w:rPr>
          <w:rFonts w:ascii="宋体" w:hAnsi="宋体" w:eastAsia="宋体" w:cs="宋体"/>
          <w:b/>
          <w:color w:val="auto"/>
          <w:sz w:val="24"/>
          <w:szCs w:val="24"/>
          <w:highlight w:val="none"/>
        </w:rPr>
      </w:pPr>
    </w:p>
    <w:p w14:paraId="53EFB3D7">
      <w:pPr>
        <w:pStyle w:val="7"/>
        <w:rPr>
          <w:rFonts w:ascii="宋体" w:hAnsi="宋体" w:eastAsia="宋体" w:cs="宋体"/>
          <w:b/>
          <w:color w:val="auto"/>
          <w:sz w:val="24"/>
          <w:highlight w:val="none"/>
        </w:rPr>
      </w:pPr>
    </w:p>
    <w:p w14:paraId="3961AB43">
      <w:pPr>
        <w:pStyle w:val="6"/>
        <w:rPr>
          <w:rFonts w:ascii="宋体" w:hAnsi="宋体" w:eastAsia="宋体" w:cs="宋体"/>
          <w:b/>
          <w:color w:val="auto"/>
          <w:sz w:val="24"/>
          <w:szCs w:val="24"/>
          <w:highlight w:val="none"/>
        </w:rPr>
      </w:pPr>
    </w:p>
    <w:p w14:paraId="377B067B">
      <w:pPr>
        <w:pStyle w:val="7"/>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74A2A1E0">
      <w:pPr>
        <w:pStyle w:val="13"/>
        <w:rPr>
          <w:rFonts w:ascii="宋体" w:hAnsi="宋体" w:cs="宋体"/>
          <w:b/>
          <w:bCs/>
          <w:color w:val="auto"/>
          <w:sz w:val="24"/>
          <w:highlight w:val="none"/>
        </w:rPr>
      </w:pPr>
    </w:p>
    <w:p w14:paraId="7E03F53A">
      <w:pPr>
        <w:pStyle w:val="29"/>
        <w:spacing w:line="360" w:lineRule="auto"/>
        <w:ind w:firstLine="480"/>
        <w:jc w:val="right"/>
        <w:rPr>
          <w:rFonts w:hint="default" w:ascii="宋体" w:hAnsi="宋体" w:cs="宋体"/>
          <w:color w:val="auto"/>
          <w:sz w:val="24"/>
          <w:szCs w:val="24"/>
          <w:highlight w:val="none"/>
        </w:rPr>
      </w:pPr>
    </w:p>
    <w:p w14:paraId="3E75BD12">
      <w:pPr>
        <w:pStyle w:val="29"/>
        <w:spacing w:line="360" w:lineRule="auto"/>
        <w:ind w:firstLine="480"/>
        <w:jc w:val="right"/>
        <w:rPr>
          <w:rFonts w:hint="default" w:ascii="宋体" w:hAnsi="宋体" w:cs="宋体"/>
          <w:color w:val="auto"/>
          <w:sz w:val="24"/>
          <w:szCs w:val="24"/>
          <w:highlight w:val="none"/>
        </w:rPr>
      </w:pPr>
    </w:p>
    <w:p w14:paraId="400BB7BB">
      <w:pPr>
        <w:pStyle w:val="29"/>
        <w:spacing w:line="360" w:lineRule="auto"/>
        <w:ind w:firstLine="480"/>
        <w:jc w:val="right"/>
        <w:rPr>
          <w:rFonts w:hint="default" w:ascii="宋体" w:hAnsi="宋体" w:cs="宋体"/>
          <w:color w:val="auto"/>
          <w:sz w:val="24"/>
          <w:szCs w:val="24"/>
          <w:highlight w:val="none"/>
        </w:rPr>
      </w:pPr>
    </w:p>
    <w:p w14:paraId="7BB59173">
      <w:pPr>
        <w:pStyle w:val="29"/>
        <w:spacing w:line="360" w:lineRule="auto"/>
        <w:ind w:firstLine="480"/>
        <w:jc w:val="right"/>
        <w:rPr>
          <w:rFonts w:hint="default" w:ascii="宋体" w:hAnsi="宋体" w:cs="宋体"/>
          <w:color w:val="auto"/>
          <w:sz w:val="24"/>
          <w:szCs w:val="24"/>
          <w:highlight w:val="none"/>
        </w:rPr>
      </w:pPr>
    </w:p>
    <w:p w14:paraId="58BBC562">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1B235D84">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0F6D755E">
      <w:pPr>
        <w:pStyle w:val="7"/>
        <w:rPr>
          <w:rFonts w:ascii="宋体" w:hAnsi="宋体" w:eastAsia="宋体" w:cs="宋体"/>
          <w:b/>
          <w:color w:val="auto"/>
          <w:sz w:val="44"/>
          <w:szCs w:val="44"/>
          <w:highlight w:val="none"/>
        </w:rPr>
      </w:pPr>
    </w:p>
    <w:p w14:paraId="017215DB">
      <w:pPr>
        <w:pStyle w:val="6"/>
        <w:rPr>
          <w:rFonts w:ascii="宋体" w:hAnsi="宋体" w:eastAsia="宋体" w:cs="宋体"/>
          <w:b/>
          <w:color w:val="auto"/>
          <w:sz w:val="44"/>
          <w:szCs w:val="44"/>
          <w:highlight w:val="none"/>
        </w:rPr>
      </w:pPr>
    </w:p>
    <w:p w14:paraId="2CF9FC24">
      <w:pPr>
        <w:pStyle w:val="7"/>
        <w:rPr>
          <w:rFonts w:ascii="宋体" w:hAnsi="宋体" w:eastAsia="宋体" w:cs="宋体"/>
          <w:b/>
          <w:color w:val="auto"/>
          <w:sz w:val="44"/>
          <w:szCs w:val="44"/>
          <w:highlight w:val="none"/>
        </w:rPr>
      </w:pPr>
    </w:p>
    <w:p w14:paraId="075644E6">
      <w:pPr>
        <w:pStyle w:val="6"/>
        <w:rPr>
          <w:rFonts w:ascii="宋体" w:hAnsi="宋体" w:eastAsia="宋体" w:cs="宋体"/>
          <w:b/>
          <w:color w:val="auto"/>
          <w:sz w:val="44"/>
          <w:szCs w:val="44"/>
          <w:highlight w:val="none"/>
        </w:rPr>
      </w:pPr>
    </w:p>
    <w:p w14:paraId="627371D5">
      <w:pPr>
        <w:pStyle w:val="7"/>
        <w:rPr>
          <w:rFonts w:ascii="宋体" w:hAnsi="宋体" w:eastAsia="宋体" w:cs="宋体"/>
          <w:b/>
          <w:color w:val="auto"/>
          <w:sz w:val="44"/>
          <w:szCs w:val="44"/>
          <w:highlight w:val="none"/>
        </w:rPr>
      </w:pPr>
    </w:p>
    <w:p w14:paraId="46157991">
      <w:pPr>
        <w:pStyle w:val="6"/>
        <w:rPr>
          <w:rFonts w:ascii="宋体" w:hAnsi="宋体" w:cs="宋体"/>
          <w:color w:val="auto"/>
          <w:highlight w:val="none"/>
        </w:rPr>
      </w:pPr>
    </w:p>
    <w:p w14:paraId="0D7FE651">
      <w:pPr>
        <w:pStyle w:val="7"/>
        <w:rPr>
          <w:rFonts w:ascii="宋体" w:hAnsi="宋体" w:eastAsia="宋体" w:cs="宋体"/>
          <w:b/>
          <w:color w:val="auto"/>
          <w:sz w:val="44"/>
          <w:szCs w:val="44"/>
          <w:highlight w:val="none"/>
        </w:rPr>
      </w:pPr>
    </w:p>
    <w:p w14:paraId="0EE1B3BD">
      <w:pPr>
        <w:pStyle w:val="6"/>
        <w:rPr>
          <w:rFonts w:ascii="宋体" w:hAnsi="宋体" w:eastAsia="宋体" w:cs="宋体"/>
          <w:b/>
          <w:color w:val="auto"/>
          <w:sz w:val="44"/>
          <w:szCs w:val="44"/>
          <w:highlight w:val="none"/>
        </w:rPr>
      </w:pPr>
    </w:p>
    <w:p w14:paraId="3F825E07">
      <w:pPr>
        <w:pStyle w:val="7"/>
        <w:rPr>
          <w:rFonts w:ascii="宋体" w:hAnsi="宋体" w:eastAsia="宋体" w:cs="宋体"/>
          <w:b/>
          <w:color w:val="auto"/>
          <w:sz w:val="44"/>
          <w:szCs w:val="44"/>
          <w:highlight w:val="none"/>
        </w:rPr>
      </w:pPr>
    </w:p>
    <w:p w14:paraId="6AAB80BC">
      <w:pPr>
        <w:pStyle w:val="6"/>
        <w:rPr>
          <w:rFonts w:ascii="宋体" w:hAnsi="宋体" w:eastAsia="宋体" w:cs="宋体"/>
          <w:b/>
          <w:color w:val="auto"/>
          <w:sz w:val="44"/>
          <w:szCs w:val="44"/>
          <w:highlight w:val="none"/>
        </w:rPr>
      </w:pPr>
    </w:p>
    <w:p w14:paraId="1847A6AE">
      <w:pPr>
        <w:pStyle w:val="7"/>
        <w:ind w:left="0" w:leftChars="0"/>
        <w:rPr>
          <w:rFonts w:ascii="宋体" w:hAnsi="宋体" w:eastAsia="宋体" w:cs="宋体"/>
          <w:b/>
          <w:color w:val="auto"/>
          <w:sz w:val="44"/>
          <w:szCs w:val="44"/>
          <w:highlight w:val="none"/>
        </w:rPr>
      </w:pPr>
    </w:p>
    <w:p w14:paraId="516857B6">
      <w:pPr>
        <w:pStyle w:val="13"/>
        <w:rPr>
          <w:rFonts w:ascii="宋体" w:hAnsi="宋体" w:eastAsia="宋体" w:cs="宋体"/>
          <w:b/>
          <w:color w:val="auto"/>
          <w:sz w:val="44"/>
          <w:szCs w:val="44"/>
          <w:highlight w:val="none"/>
        </w:rPr>
      </w:pPr>
    </w:p>
    <w:p w14:paraId="37157578">
      <w:pPr>
        <w:pStyle w:val="13"/>
        <w:rPr>
          <w:rFonts w:ascii="宋体" w:hAnsi="宋体" w:eastAsia="宋体" w:cs="宋体"/>
          <w:b/>
          <w:color w:val="auto"/>
          <w:sz w:val="44"/>
          <w:szCs w:val="44"/>
          <w:highlight w:val="none"/>
        </w:rPr>
      </w:pPr>
    </w:p>
    <w:p w14:paraId="374689B6">
      <w:pPr>
        <w:spacing w:line="1000" w:lineRule="exact"/>
        <w:jc w:val="center"/>
        <w:rPr>
          <w:rFonts w:ascii="宋体" w:hAnsi="宋体" w:eastAsia="宋体" w:cs="宋体"/>
          <w:color w:val="auto"/>
          <w:sz w:val="96"/>
          <w:szCs w:val="96"/>
          <w:highlight w:val="none"/>
        </w:rPr>
      </w:pPr>
    </w:p>
    <w:p w14:paraId="5EF688AC">
      <w:pPr>
        <w:spacing w:line="1000" w:lineRule="exact"/>
        <w:jc w:val="center"/>
        <w:rPr>
          <w:rFonts w:ascii="宋体" w:hAnsi="宋体" w:eastAsia="宋体" w:cs="宋体"/>
          <w:color w:val="auto"/>
          <w:sz w:val="96"/>
          <w:szCs w:val="96"/>
          <w:highlight w:val="none"/>
        </w:rPr>
      </w:pPr>
    </w:p>
    <w:p w14:paraId="33AB0184">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11B3BC79">
      <w:pPr>
        <w:pStyle w:val="25"/>
        <w:spacing w:after="120" w:line="500" w:lineRule="exact"/>
        <w:outlineLvl w:val="9"/>
        <w:rPr>
          <w:rStyle w:val="26"/>
          <w:rFonts w:ascii="宋体" w:hAnsi="宋体" w:cs="宋体"/>
          <w:b/>
          <w:bCs/>
          <w:color w:val="auto"/>
          <w:sz w:val="44"/>
          <w:szCs w:val="44"/>
          <w:highlight w:val="none"/>
        </w:rPr>
      </w:pPr>
    </w:p>
    <w:p w14:paraId="79864857">
      <w:pPr>
        <w:pStyle w:val="25"/>
        <w:spacing w:after="120" w:line="500" w:lineRule="exact"/>
        <w:jc w:val="center"/>
        <w:outlineLvl w:val="9"/>
        <w:rPr>
          <w:rStyle w:val="26"/>
          <w:rFonts w:ascii="宋体" w:hAnsi="宋体" w:cs="宋体"/>
          <w:b/>
          <w:bCs/>
          <w:color w:val="auto"/>
          <w:sz w:val="44"/>
          <w:szCs w:val="44"/>
          <w:highlight w:val="none"/>
        </w:rPr>
      </w:pPr>
      <w:r>
        <w:rPr>
          <w:rStyle w:val="26"/>
          <w:rFonts w:hint="eastAsia" w:hAnsi="宋体" w:cs="宋体"/>
          <w:b/>
          <w:bCs/>
          <w:color w:val="auto"/>
          <w:sz w:val="44"/>
          <w:szCs w:val="44"/>
          <w:highlight w:val="none"/>
        </w:rPr>
        <w:t>（第二部分</w:t>
      </w:r>
      <w:r>
        <w:rPr>
          <w:rStyle w:val="26"/>
          <w:rFonts w:hAnsi="宋体" w:cs="宋体"/>
          <w:b/>
          <w:bCs/>
          <w:color w:val="auto"/>
          <w:sz w:val="44"/>
          <w:szCs w:val="44"/>
          <w:highlight w:val="none"/>
        </w:rPr>
        <w:t xml:space="preserve">  </w:t>
      </w:r>
      <w:r>
        <w:rPr>
          <w:rStyle w:val="26"/>
          <w:rFonts w:hint="eastAsia" w:hAnsi="宋体" w:cs="宋体"/>
          <w:b/>
          <w:bCs/>
          <w:color w:val="auto"/>
          <w:sz w:val="44"/>
          <w:szCs w:val="44"/>
          <w:highlight w:val="none"/>
        </w:rPr>
        <w:t>报价部分）</w:t>
      </w:r>
    </w:p>
    <w:p w14:paraId="5831C77B">
      <w:pPr>
        <w:spacing w:line="1000" w:lineRule="exact"/>
        <w:ind w:firstLine="1920" w:firstLineChars="200"/>
        <w:jc w:val="left"/>
        <w:rPr>
          <w:rFonts w:ascii="宋体" w:hAnsi="宋体" w:cs="宋体"/>
          <w:color w:val="auto"/>
          <w:sz w:val="96"/>
          <w:szCs w:val="96"/>
          <w:highlight w:val="none"/>
        </w:rPr>
      </w:pPr>
    </w:p>
    <w:p w14:paraId="618E4098">
      <w:pPr>
        <w:spacing w:line="1000" w:lineRule="exact"/>
        <w:ind w:firstLine="1920" w:firstLineChars="200"/>
        <w:jc w:val="left"/>
        <w:rPr>
          <w:rFonts w:ascii="宋体" w:hAnsi="宋体" w:cs="宋体"/>
          <w:color w:val="auto"/>
          <w:sz w:val="96"/>
          <w:szCs w:val="96"/>
          <w:highlight w:val="none"/>
        </w:rPr>
      </w:pPr>
    </w:p>
    <w:p w14:paraId="1375F2EC">
      <w:pPr>
        <w:pStyle w:val="3"/>
        <w:rPr>
          <w:rFonts w:cs="宋体"/>
          <w:color w:val="auto"/>
          <w:highlight w:val="none"/>
        </w:rPr>
      </w:pPr>
    </w:p>
    <w:p w14:paraId="4B7CC9FC">
      <w:pPr>
        <w:spacing w:line="1000" w:lineRule="exact"/>
        <w:ind w:firstLine="1920" w:firstLineChars="200"/>
        <w:jc w:val="left"/>
        <w:rPr>
          <w:rFonts w:ascii="宋体" w:hAnsi="宋体" w:cs="宋体"/>
          <w:color w:val="auto"/>
          <w:sz w:val="96"/>
          <w:szCs w:val="96"/>
          <w:highlight w:val="none"/>
        </w:rPr>
      </w:pPr>
    </w:p>
    <w:p w14:paraId="19956673">
      <w:pPr>
        <w:pStyle w:val="10"/>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02E00090">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291C216F">
      <w:pPr>
        <w:pStyle w:val="10"/>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79D7E12F">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25119999">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14:paraId="3663AC46">
      <w:pPr>
        <w:rPr>
          <w:rFonts w:ascii="宋体" w:hAnsi="宋体" w:cs="宋体"/>
          <w:color w:val="auto"/>
          <w:highlight w:val="none"/>
        </w:rPr>
      </w:pPr>
    </w:p>
    <w:p w14:paraId="0BBC47E8">
      <w:pPr>
        <w:pStyle w:val="13"/>
        <w:rPr>
          <w:rFonts w:ascii="宋体" w:hAnsi="宋体" w:cs="宋体"/>
          <w:color w:val="auto"/>
          <w:highlight w:val="none"/>
        </w:rPr>
      </w:pPr>
    </w:p>
    <w:p w14:paraId="1DB409FA">
      <w:pPr>
        <w:pStyle w:val="4"/>
        <w:keepNext w:val="0"/>
        <w:keepLines w:val="0"/>
        <w:jc w:val="center"/>
        <w:rPr>
          <w:rFonts w:hint="default" w:cs="宋体"/>
          <w:color w:val="auto"/>
          <w:highlight w:val="none"/>
        </w:rPr>
      </w:pPr>
    </w:p>
    <w:p w14:paraId="43194F82">
      <w:pPr>
        <w:rPr>
          <w:rFonts w:ascii="宋体" w:hAnsi="宋体" w:cs="宋体"/>
          <w:color w:val="auto"/>
          <w:highlight w:val="none"/>
        </w:rPr>
      </w:pPr>
    </w:p>
    <w:p w14:paraId="66C39B42">
      <w:pPr>
        <w:pStyle w:val="4"/>
        <w:keepNext w:val="0"/>
        <w:keepLines w:val="0"/>
        <w:jc w:val="center"/>
        <w:rPr>
          <w:rFonts w:hint="default" w:cs="宋体"/>
          <w:color w:val="auto"/>
          <w:highlight w:val="none"/>
        </w:rPr>
      </w:pPr>
      <w:r>
        <w:rPr>
          <w:rFonts w:hint="default" w:cs="宋体"/>
          <w:color w:val="auto"/>
          <w:kern w:val="44"/>
          <w:sz w:val="32"/>
          <w:szCs w:val="32"/>
          <w:highlight w:val="none"/>
        </w:rPr>
        <w:t>1、报价一览表</w:t>
      </w:r>
    </w:p>
    <w:p w14:paraId="44B00D78">
      <w:pPr>
        <w:pStyle w:val="3"/>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14:paraId="2F97727B">
      <w:pPr>
        <w:pStyle w:val="3"/>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14:paraId="41B9DD66">
      <w:pPr>
        <w:pStyle w:val="27"/>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金额单位：人民币元</w:t>
      </w:r>
    </w:p>
    <w:tbl>
      <w:tblPr>
        <w:tblStyle w:val="20"/>
        <w:tblW w:w="514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2"/>
        <w:gridCol w:w="1069"/>
        <w:gridCol w:w="3255"/>
        <w:gridCol w:w="1104"/>
        <w:gridCol w:w="1790"/>
        <w:gridCol w:w="1987"/>
      </w:tblGrid>
      <w:tr w14:paraId="64DC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tcPr>
          <w:p w14:paraId="47B63738">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1069" w:type="dxa"/>
            <w:vAlign w:val="center"/>
          </w:tcPr>
          <w:p w14:paraId="1C972FC7">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3255" w:type="dxa"/>
            <w:vAlign w:val="top"/>
          </w:tcPr>
          <w:p w14:paraId="3105A1FA">
            <w:pPr>
              <w:pStyle w:val="29"/>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货物</w:t>
            </w:r>
            <w:r>
              <w:rPr>
                <w:rFonts w:ascii="宋体" w:hAnsi="宋体" w:cs="宋体"/>
                <w:b w:val="0"/>
                <w:bCs w:val="0"/>
                <w:color w:val="auto"/>
                <w:sz w:val="24"/>
                <w:szCs w:val="24"/>
                <w:highlight w:val="none"/>
              </w:rPr>
              <w:t>名称</w:t>
            </w:r>
          </w:p>
        </w:tc>
        <w:tc>
          <w:tcPr>
            <w:tcW w:w="1104" w:type="dxa"/>
            <w:vAlign w:val="center"/>
          </w:tcPr>
          <w:p w14:paraId="03BA9B7E">
            <w:pPr>
              <w:widowControl/>
              <w:jc w:val="center"/>
              <w:textAlignment w:val="center"/>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单位</w:t>
            </w:r>
          </w:p>
        </w:tc>
        <w:tc>
          <w:tcPr>
            <w:tcW w:w="1790" w:type="dxa"/>
            <w:vAlign w:val="center"/>
          </w:tcPr>
          <w:p w14:paraId="46BD99DB">
            <w:pPr>
              <w:widowControl/>
              <w:jc w:val="center"/>
              <w:textAlignment w:val="center"/>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数量</w:t>
            </w:r>
          </w:p>
        </w:tc>
        <w:tc>
          <w:tcPr>
            <w:tcW w:w="1987" w:type="dxa"/>
          </w:tcPr>
          <w:p w14:paraId="5D84AA2A">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最高限单价</w:t>
            </w:r>
          </w:p>
        </w:tc>
      </w:tr>
      <w:tr w14:paraId="5960C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restart"/>
            <w:vAlign w:val="center"/>
          </w:tcPr>
          <w:p w14:paraId="63D1E8C8">
            <w:pPr>
              <w:pStyle w:val="29"/>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1069" w:type="dxa"/>
            <w:vAlign w:val="center"/>
          </w:tcPr>
          <w:p w14:paraId="47B1F52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3255" w:type="dxa"/>
            <w:vAlign w:val="center"/>
          </w:tcPr>
          <w:p w14:paraId="068175E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核心交换机</w:t>
            </w:r>
          </w:p>
        </w:tc>
        <w:tc>
          <w:tcPr>
            <w:tcW w:w="1104" w:type="dxa"/>
            <w:vAlign w:val="center"/>
          </w:tcPr>
          <w:p w14:paraId="62BA74BB">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1790" w:type="dxa"/>
            <w:vAlign w:val="center"/>
          </w:tcPr>
          <w:p w14:paraId="618CD4BD">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w:t>
            </w:r>
          </w:p>
        </w:tc>
        <w:tc>
          <w:tcPr>
            <w:tcW w:w="1987" w:type="dxa"/>
            <w:vAlign w:val="center"/>
          </w:tcPr>
          <w:p w14:paraId="713EF1CF">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221000</w:t>
            </w:r>
          </w:p>
        </w:tc>
      </w:tr>
      <w:tr w14:paraId="0BD2E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continue"/>
          </w:tcPr>
          <w:p w14:paraId="206AE057">
            <w:pPr>
              <w:pStyle w:val="29"/>
              <w:widowControl w:val="0"/>
              <w:spacing w:line="360" w:lineRule="auto"/>
              <w:jc w:val="both"/>
              <w:rPr>
                <w:rFonts w:hint="default" w:ascii="宋体" w:hAnsi="宋体" w:cs="宋体"/>
                <w:b w:val="0"/>
                <w:bCs w:val="0"/>
                <w:color w:val="auto"/>
                <w:sz w:val="24"/>
                <w:szCs w:val="24"/>
                <w:highlight w:val="none"/>
              </w:rPr>
            </w:pPr>
          </w:p>
        </w:tc>
        <w:tc>
          <w:tcPr>
            <w:tcW w:w="1069" w:type="dxa"/>
            <w:vAlign w:val="center"/>
          </w:tcPr>
          <w:p w14:paraId="6C3F72C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3255" w:type="dxa"/>
            <w:vAlign w:val="center"/>
          </w:tcPr>
          <w:p w14:paraId="70A1AF19">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入侵防御系统</w:t>
            </w:r>
          </w:p>
        </w:tc>
        <w:tc>
          <w:tcPr>
            <w:tcW w:w="1104" w:type="dxa"/>
            <w:vAlign w:val="center"/>
          </w:tcPr>
          <w:p w14:paraId="14A64CD4">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1790" w:type="dxa"/>
            <w:vAlign w:val="center"/>
          </w:tcPr>
          <w:p w14:paraId="72EFEDD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987" w:type="dxa"/>
            <w:vAlign w:val="center"/>
          </w:tcPr>
          <w:p w14:paraId="0C4F2B35">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135800</w:t>
            </w:r>
          </w:p>
        </w:tc>
      </w:tr>
      <w:tr w14:paraId="6163A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continue"/>
          </w:tcPr>
          <w:p w14:paraId="25F33BBC">
            <w:pPr>
              <w:pStyle w:val="29"/>
              <w:widowControl w:val="0"/>
              <w:spacing w:line="360" w:lineRule="auto"/>
              <w:jc w:val="both"/>
              <w:rPr>
                <w:rFonts w:hint="default" w:ascii="宋体" w:hAnsi="宋体" w:cs="宋体"/>
                <w:b w:val="0"/>
                <w:bCs w:val="0"/>
                <w:color w:val="auto"/>
                <w:sz w:val="24"/>
                <w:szCs w:val="24"/>
                <w:highlight w:val="none"/>
              </w:rPr>
            </w:pPr>
          </w:p>
        </w:tc>
        <w:tc>
          <w:tcPr>
            <w:tcW w:w="1069" w:type="dxa"/>
            <w:vAlign w:val="center"/>
          </w:tcPr>
          <w:p w14:paraId="49B4D29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3255" w:type="dxa"/>
            <w:vAlign w:val="center"/>
          </w:tcPr>
          <w:p w14:paraId="412312E5">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单模</w:t>
            </w:r>
            <w:r>
              <w:rPr>
                <w:rFonts w:hint="eastAsia" w:asciiTheme="minorEastAsia" w:hAnsiTheme="minorEastAsia" w:eastAsiaTheme="minorEastAsia" w:cstheme="minorEastAsia"/>
                <w:color w:val="auto"/>
                <w:sz w:val="24"/>
                <w:szCs w:val="24"/>
                <w:highlight w:val="none"/>
                <w:lang w:eastAsia="zh-CN"/>
              </w:rPr>
              <w:t>）</w:t>
            </w:r>
          </w:p>
        </w:tc>
        <w:tc>
          <w:tcPr>
            <w:tcW w:w="1104" w:type="dxa"/>
            <w:vAlign w:val="center"/>
          </w:tcPr>
          <w:p w14:paraId="367CAFE2">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个</w:t>
            </w:r>
          </w:p>
        </w:tc>
        <w:tc>
          <w:tcPr>
            <w:tcW w:w="1790" w:type="dxa"/>
            <w:vAlign w:val="center"/>
          </w:tcPr>
          <w:p w14:paraId="57E11715">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96</w:t>
            </w:r>
          </w:p>
        </w:tc>
        <w:tc>
          <w:tcPr>
            <w:tcW w:w="1987" w:type="dxa"/>
            <w:vAlign w:val="center"/>
          </w:tcPr>
          <w:p w14:paraId="7E9DDF86">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548</w:t>
            </w:r>
          </w:p>
        </w:tc>
      </w:tr>
      <w:tr w14:paraId="01B22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continue"/>
          </w:tcPr>
          <w:p w14:paraId="05A8DF0D">
            <w:pPr>
              <w:pStyle w:val="29"/>
              <w:widowControl w:val="0"/>
              <w:spacing w:line="360" w:lineRule="auto"/>
              <w:jc w:val="both"/>
              <w:rPr>
                <w:rFonts w:hint="default" w:ascii="宋体" w:hAnsi="宋体" w:cs="宋体"/>
                <w:b w:val="0"/>
                <w:bCs w:val="0"/>
                <w:color w:val="auto"/>
                <w:sz w:val="24"/>
                <w:szCs w:val="24"/>
                <w:highlight w:val="none"/>
              </w:rPr>
            </w:pPr>
          </w:p>
        </w:tc>
        <w:tc>
          <w:tcPr>
            <w:tcW w:w="1069" w:type="dxa"/>
            <w:vAlign w:val="center"/>
          </w:tcPr>
          <w:p w14:paraId="2E4A275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1-4</w:t>
            </w:r>
          </w:p>
        </w:tc>
        <w:tc>
          <w:tcPr>
            <w:tcW w:w="3255" w:type="dxa"/>
            <w:vAlign w:val="center"/>
          </w:tcPr>
          <w:p w14:paraId="7D6D111D">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万兆光模块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多模</w:t>
            </w:r>
            <w:r>
              <w:rPr>
                <w:rFonts w:hint="eastAsia" w:asciiTheme="minorEastAsia" w:hAnsiTheme="minorEastAsia" w:eastAsiaTheme="minorEastAsia" w:cstheme="minorEastAsia"/>
                <w:color w:val="auto"/>
                <w:sz w:val="24"/>
                <w:szCs w:val="24"/>
                <w:highlight w:val="none"/>
                <w:lang w:eastAsia="zh-CN"/>
              </w:rPr>
              <w:t>）</w:t>
            </w:r>
          </w:p>
        </w:tc>
        <w:tc>
          <w:tcPr>
            <w:tcW w:w="1104" w:type="dxa"/>
            <w:vAlign w:val="center"/>
          </w:tcPr>
          <w:p w14:paraId="4D2AC95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个</w:t>
            </w:r>
          </w:p>
        </w:tc>
        <w:tc>
          <w:tcPr>
            <w:tcW w:w="1790" w:type="dxa"/>
            <w:vAlign w:val="center"/>
          </w:tcPr>
          <w:p w14:paraId="1E9B751D">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20</w:t>
            </w:r>
          </w:p>
        </w:tc>
        <w:tc>
          <w:tcPr>
            <w:tcW w:w="1987" w:type="dxa"/>
            <w:vAlign w:val="center"/>
          </w:tcPr>
          <w:p w14:paraId="7412737F">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420</w:t>
            </w:r>
          </w:p>
        </w:tc>
      </w:tr>
      <w:tr w14:paraId="2B072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continue"/>
          </w:tcPr>
          <w:p w14:paraId="1D41F937">
            <w:pPr>
              <w:pStyle w:val="29"/>
              <w:widowControl w:val="0"/>
              <w:spacing w:line="360" w:lineRule="auto"/>
              <w:jc w:val="both"/>
              <w:rPr>
                <w:rFonts w:hint="default" w:ascii="宋体" w:hAnsi="宋体" w:cs="宋体"/>
                <w:b w:val="0"/>
                <w:bCs w:val="0"/>
                <w:color w:val="auto"/>
                <w:sz w:val="24"/>
                <w:szCs w:val="24"/>
                <w:highlight w:val="none"/>
              </w:rPr>
            </w:pPr>
          </w:p>
        </w:tc>
        <w:tc>
          <w:tcPr>
            <w:tcW w:w="1069" w:type="dxa"/>
            <w:vAlign w:val="center"/>
          </w:tcPr>
          <w:p w14:paraId="7B6D8EA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1-5</w:t>
            </w:r>
          </w:p>
        </w:tc>
        <w:tc>
          <w:tcPr>
            <w:tcW w:w="3255" w:type="dxa"/>
            <w:vAlign w:val="center"/>
          </w:tcPr>
          <w:p w14:paraId="022615CE">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5米</w:t>
            </w:r>
            <w:r>
              <w:rPr>
                <w:rFonts w:hint="eastAsia" w:asciiTheme="minorEastAsia" w:hAnsiTheme="minorEastAsia" w:eastAsiaTheme="minorEastAsia" w:cstheme="minorEastAsia"/>
                <w:color w:val="auto"/>
                <w:sz w:val="24"/>
                <w:szCs w:val="24"/>
                <w:highlight w:val="none"/>
                <w:lang w:eastAsia="zh-CN"/>
              </w:rPr>
              <w:t>）</w:t>
            </w:r>
          </w:p>
        </w:tc>
        <w:tc>
          <w:tcPr>
            <w:tcW w:w="1104" w:type="dxa"/>
            <w:vAlign w:val="center"/>
          </w:tcPr>
          <w:p w14:paraId="112949E6">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条</w:t>
            </w:r>
          </w:p>
        </w:tc>
        <w:tc>
          <w:tcPr>
            <w:tcW w:w="1790" w:type="dxa"/>
            <w:vAlign w:val="center"/>
          </w:tcPr>
          <w:p w14:paraId="0D4DF199">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96</w:t>
            </w:r>
          </w:p>
        </w:tc>
        <w:tc>
          <w:tcPr>
            <w:tcW w:w="1987" w:type="dxa"/>
            <w:vAlign w:val="center"/>
          </w:tcPr>
          <w:p w14:paraId="097D27D6">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22</w:t>
            </w:r>
          </w:p>
        </w:tc>
      </w:tr>
      <w:tr w14:paraId="1BE59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continue"/>
          </w:tcPr>
          <w:p w14:paraId="009556C8">
            <w:pPr>
              <w:pStyle w:val="29"/>
              <w:widowControl w:val="0"/>
              <w:spacing w:line="360" w:lineRule="auto"/>
              <w:jc w:val="both"/>
              <w:rPr>
                <w:rFonts w:hint="default" w:ascii="宋体" w:hAnsi="宋体" w:cs="宋体"/>
                <w:b w:val="0"/>
                <w:bCs w:val="0"/>
                <w:color w:val="auto"/>
                <w:sz w:val="24"/>
                <w:szCs w:val="24"/>
                <w:highlight w:val="none"/>
              </w:rPr>
            </w:pPr>
          </w:p>
        </w:tc>
        <w:tc>
          <w:tcPr>
            <w:tcW w:w="1069" w:type="dxa"/>
            <w:vAlign w:val="center"/>
          </w:tcPr>
          <w:p w14:paraId="097FF2E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1-6</w:t>
            </w:r>
          </w:p>
        </w:tc>
        <w:tc>
          <w:tcPr>
            <w:tcW w:w="3255" w:type="dxa"/>
            <w:vAlign w:val="center"/>
          </w:tcPr>
          <w:p w14:paraId="7FE68D6E">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跳纤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米</w:t>
            </w:r>
            <w:r>
              <w:rPr>
                <w:rFonts w:hint="eastAsia" w:asciiTheme="minorEastAsia" w:hAnsiTheme="minorEastAsia" w:eastAsiaTheme="minorEastAsia" w:cstheme="minorEastAsia"/>
                <w:color w:val="auto"/>
                <w:sz w:val="24"/>
                <w:szCs w:val="24"/>
                <w:highlight w:val="none"/>
                <w:lang w:eastAsia="zh-CN"/>
              </w:rPr>
              <w:t>）</w:t>
            </w:r>
          </w:p>
        </w:tc>
        <w:tc>
          <w:tcPr>
            <w:tcW w:w="1104" w:type="dxa"/>
            <w:vAlign w:val="center"/>
          </w:tcPr>
          <w:p w14:paraId="4A7E8FB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条</w:t>
            </w:r>
          </w:p>
        </w:tc>
        <w:tc>
          <w:tcPr>
            <w:tcW w:w="1790" w:type="dxa"/>
            <w:vAlign w:val="center"/>
          </w:tcPr>
          <w:p w14:paraId="7E5F7230">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10</w:t>
            </w:r>
          </w:p>
        </w:tc>
        <w:tc>
          <w:tcPr>
            <w:tcW w:w="1987" w:type="dxa"/>
            <w:vAlign w:val="center"/>
          </w:tcPr>
          <w:p w14:paraId="1FC8C6FB">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25</w:t>
            </w:r>
          </w:p>
        </w:tc>
      </w:tr>
      <w:tr w14:paraId="22041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jc w:val="center"/>
        </w:trPr>
        <w:tc>
          <w:tcPr>
            <w:tcW w:w="1052" w:type="dxa"/>
            <w:vMerge w:val="continue"/>
          </w:tcPr>
          <w:p w14:paraId="7FD754AA">
            <w:pPr>
              <w:pStyle w:val="29"/>
              <w:widowControl w:val="0"/>
              <w:spacing w:line="360" w:lineRule="auto"/>
              <w:jc w:val="both"/>
              <w:rPr>
                <w:rFonts w:hint="default" w:ascii="宋体" w:hAnsi="宋体" w:cs="宋体"/>
                <w:b w:val="0"/>
                <w:bCs w:val="0"/>
                <w:color w:val="auto"/>
                <w:sz w:val="24"/>
                <w:szCs w:val="24"/>
                <w:highlight w:val="none"/>
              </w:rPr>
            </w:pPr>
          </w:p>
        </w:tc>
        <w:tc>
          <w:tcPr>
            <w:tcW w:w="1069" w:type="dxa"/>
            <w:vAlign w:val="center"/>
          </w:tcPr>
          <w:p w14:paraId="5ECB9F6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1-7</w:t>
            </w:r>
          </w:p>
        </w:tc>
        <w:tc>
          <w:tcPr>
            <w:tcW w:w="3255" w:type="dxa"/>
            <w:vAlign w:val="center"/>
          </w:tcPr>
          <w:p w14:paraId="2E40D804">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人工辅材</w:t>
            </w:r>
          </w:p>
        </w:tc>
        <w:tc>
          <w:tcPr>
            <w:tcW w:w="1104" w:type="dxa"/>
            <w:vAlign w:val="center"/>
          </w:tcPr>
          <w:p w14:paraId="74C2AC5D">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项</w:t>
            </w:r>
          </w:p>
        </w:tc>
        <w:tc>
          <w:tcPr>
            <w:tcW w:w="1790" w:type="dxa"/>
            <w:vAlign w:val="center"/>
          </w:tcPr>
          <w:p w14:paraId="7B0D07CA">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1987" w:type="dxa"/>
            <w:vAlign w:val="center"/>
          </w:tcPr>
          <w:p w14:paraId="7D0F37BF">
            <w:pPr>
              <w:widowControl/>
              <w:jc w:val="center"/>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27300</w:t>
            </w:r>
          </w:p>
        </w:tc>
      </w:tr>
      <w:tr w14:paraId="634B0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9" w:hRule="atLeast"/>
          <w:jc w:val="center"/>
        </w:trPr>
        <w:tc>
          <w:tcPr>
            <w:tcW w:w="10257" w:type="dxa"/>
            <w:gridSpan w:val="6"/>
            <w:vAlign w:val="center"/>
          </w:tcPr>
          <w:p w14:paraId="08B0D76C">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统一下浮率：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tc>
      </w:tr>
    </w:tbl>
    <w:p w14:paraId="29378D3B">
      <w:pPr>
        <w:pStyle w:val="27"/>
        <w:ind w:firstLine="6240" w:firstLineChars="2600"/>
        <w:rPr>
          <w:rFonts w:hint="eastAsia" w:ascii="宋体" w:hAnsi="宋体" w:cs="宋体"/>
          <w:color w:val="auto"/>
          <w:sz w:val="24"/>
          <w:highlight w:val="none"/>
        </w:rPr>
      </w:pPr>
    </w:p>
    <w:p w14:paraId="3D604585">
      <w:pPr>
        <w:pStyle w:val="27"/>
        <w:ind w:firstLine="6240" w:firstLineChars="2600"/>
        <w:rPr>
          <w:rFonts w:ascii="宋体" w:hAnsi="宋体" w:cs="宋体"/>
          <w:color w:val="auto"/>
          <w:sz w:val="24"/>
          <w:highlight w:val="none"/>
        </w:rPr>
      </w:pPr>
    </w:p>
    <w:p w14:paraId="270F6DEF">
      <w:pPr>
        <w:pStyle w:val="27"/>
        <w:ind w:firstLine="6240" w:firstLineChars="2600"/>
        <w:rPr>
          <w:rFonts w:ascii="宋体" w:hAnsi="宋体" w:cs="宋体"/>
          <w:color w:val="auto"/>
          <w:sz w:val="24"/>
          <w:highlight w:val="none"/>
        </w:rPr>
      </w:pPr>
    </w:p>
    <w:p w14:paraId="4DBA0E44">
      <w:pPr>
        <w:pStyle w:val="27"/>
        <w:ind w:firstLine="6240" w:firstLineChars="2600"/>
        <w:rPr>
          <w:rFonts w:ascii="宋体" w:hAnsi="宋体" w:cs="宋体"/>
          <w:color w:val="auto"/>
          <w:sz w:val="24"/>
          <w:highlight w:val="none"/>
        </w:rPr>
      </w:pPr>
    </w:p>
    <w:p w14:paraId="2A30C858">
      <w:pPr>
        <w:pStyle w:val="16"/>
        <w:spacing w:before="75" w:beforeAutospacing="0" w:after="75" w:afterAutospacing="0"/>
        <w:rPr>
          <w:color w:val="auto"/>
          <w:sz w:val="28"/>
          <w:szCs w:val="28"/>
          <w:highlight w:val="none"/>
        </w:rPr>
      </w:pPr>
    </w:p>
    <w:p w14:paraId="173EBDDC">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14:paraId="09CEBE83">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14:paraId="62010419">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14:paraId="5AFC787E">
      <w:pP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241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759B56">
                          <w:pPr>
                            <w:pStyle w:val="12"/>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8759B56">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F51BE"/>
    <w:multiLevelType w:val="singleLevel"/>
    <w:tmpl w:val="DDCF51BE"/>
    <w:lvl w:ilvl="0" w:tentative="0">
      <w:start w:val="2"/>
      <w:numFmt w:val="chineseCounting"/>
      <w:suff w:val="nothing"/>
      <w:lvlText w:val="%1、"/>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6B7B8FBE"/>
    <w:multiLevelType w:val="singleLevel"/>
    <w:tmpl w:val="6B7B8FBE"/>
    <w:lvl w:ilvl="0" w:tentative="0">
      <w:start w:val="3"/>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51AA2"/>
    <w:rsid w:val="76B917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6"/>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qFormat/>
    <w:uiPriority w:val="0"/>
    <w:pPr>
      <w:spacing w:after="120"/>
      <w:ind w:left="420" w:left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1"/>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qFormat/>
    <w:uiPriority w:val="99"/>
    <w:pPr>
      <w:tabs>
        <w:tab w:val="left" w:pos="4606"/>
      </w:tabs>
      <w:ind w:firstLine="420"/>
    </w:p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CN" w:bidi="ar-SA"/>
    </w:rPr>
  </w:style>
  <w:style w:type="character" w:customStyle="1" w:styleId="30">
    <w:name w:val="页眉 Char"/>
    <w:basedOn w:val="22"/>
    <w:link w:val="14"/>
    <w:qFormat/>
    <w:uiPriority w:val="0"/>
    <w:rPr>
      <w:rFonts w:ascii="Calibri" w:hAnsi="Calibri" w:eastAsia="宋体" w:cs="Times New Roman"/>
      <w:kern w:val="2"/>
      <w:sz w:val="18"/>
      <w:szCs w:val="18"/>
    </w:rPr>
  </w:style>
  <w:style w:type="character" w:customStyle="1" w:styleId="31">
    <w:name w:val="批注框文本 Char"/>
    <w:basedOn w:val="22"/>
    <w:link w:val="11"/>
    <w:qFormat/>
    <w:uiPriority w:val="0"/>
    <w:rPr>
      <w:rFonts w:ascii="Calibri" w:hAnsi="Calibri" w:eastAsia="宋体" w:cs="Times New Roman"/>
      <w:kern w:val="2"/>
      <w:sz w:val="18"/>
      <w:szCs w:val="18"/>
    </w:rPr>
  </w:style>
  <w:style w:type="character" w:customStyle="1" w:styleId="32">
    <w:name w:val="font01"/>
    <w:basedOn w:val="22"/>
    <w:qFormat/>
    <w:uiPriority w:val="0"/>
    <w:rPr>
      <w:rFonts w:hint="eastAsia" w:ascii="宋体" w:hAnsi="宋体" w:eastAsia="宋体" w:cs="宋体"/>
      <w:color w:val="000000"/>
      <w:sz w:val="24"/>
      <w:szCs w:val="24"/>
      <w:u w:val="none"/>
    </w:rPr>
  </w:style>
  <w:style w:type="paragraph" w:customStyle="1" w:styleId="33">
    <w:name w:val="List Paragraph"/>
    <w:basedOn w:val="1"/>
    <w:qFormat/>
    <w:uiPriority w:val="99"/>
    <w:pPr>
      <w:ind w:firstLine="420" w:firstLineChars="200"/>
    </w:pPr>
  </w:style>
  <w:style w:type="paragraph" w:customStyle="1" w:styleId="34">
    <w:name w:val="标题 5（有编号）（绿盟科技）"/>
    <w:basedOn w:val="1"/>
    <w:next w:val="35"/>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40</Pages>
  <Words>19239</Words>
  <Characters>20326</Characters>
  <Lines>163</Lines>
  <Paragraphs>45</Paragraphs>
  <TotalTime>3</TotalTime>
  <ScaleCrop>false</ScaleCrop>
  <LinksUpToDate>false</LinksUpToDate>
  <CharactersWithSpaces>20867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2023-09-05T23:25:00Z</dcterms:created>
  <dc:creator>Administrator</dc:creator>
  <cp:lastModifiedBy>莣棯</cp:lastModifiedBy>
  <cp:lastPrinted>2025-11-07T19:54:00Z</cp:lastPrinted>
  <dcterms:modified xsi:type="dcterms:W3CDTF">2026-05-20T10:09:04Z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D8E73C51CFCE455EA409CFBB9B4FE08B_13</vt:lpwstr>
  </property>
  <property fmtid="{D5CDD505-2E9C-101B-9397-08002B2CF9AE}" pid="4" name="KSOTemplateDocerSaveRecord">
    <vt:lpwstr>eyJoZGlkIjoiZjRkZmYwNzYxMGRhYzQzMjkwOTA2OWI3YjNlNzU4NjkiLCJ1c2VySWQiOiI0NDcxMTI1ODQifQ==</vt:lpwstr>
  </property>
</Properties>
</file>