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color w:val="auto"/>
          <w:sz w:val="72"/>
          <w:szCs w:val="72"/>
          <w:highlight w:val="none"/>
        </w:rPr>
      </w:pPr>
    </w:p>
    <w:p>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福建省闽西监狱</w:t>
      </w:r>
    </w:p>
    <w:p>
      <w:pPr>
        <w:spacing w:line="360" w:lineRule="auto"/>
        <w:jc w:val="center"/>
        <w:rPr>
          <w:rFonts w:ascii="宋体" w:hAnsi="宋体" w:cs="宋体"/>
          <w:b/>
          <w:color w:val="auto"/>
          <w:sz w:val="72"/>
          <w:szCs w:val="72"/>
          <w:highlight w:val="none"/>
        </w:rPr>
      </w:pPr>
      <w:r>
        <w:rPr>
          <w:rFonts w:hint="eastAsia" w:ascii="宋体" w:hAnsi="宋体" w:cs="宋体"/>
          <w:b/>
          <w:color w:val="auto"/>
          <w:sz w:val="52"/>
          <w:szCs w:val="52"/>
          <w:highlight w:val="none"/>
        </w:rPr>
        <w:t>网上竞价文件</w:t>
      </w:r>
    </w:p>
    <w:p>
      <w:pPr>
        <w:pStyle w:val="2"/>
        <w:rPr>
          <w:rFonts w:ascii="宋体" w:hAnsi="宋体" w:cs="宋体"/>
          <w:color w:val="auto"/>
          <w:highlight w:val="none"/>
        </w:rPr>
      </w:pPr>
    </w:p>
    <w:p>
      <w:pPr>
        <w:pStyle w:val="12"/>
        <w:spacing w:line="0" w:lineRule="atLeast"/>
        <w:rPr>
          <w:rFonts w:hAnsi="宋体" w:cs="宋体"/>
          <w:b/>
          <w:color w:val="auto"/>
          <w:sz w:val="32"/>
          <w:highlight w:val="none"/>
        </w:rPr>
      </w:pPr>
    </w:p>
    <w:p>
      <w:pPr>
        <w:pStyle w:val="12"/>
        <w:spacing w:line="0" w:lineRule="atLeast"/>
        <w:jc w:val="center"/>
        <w:rPr>
          <w:rFonts w:hAnsi="宋体" w:cs="宋体"/>
          <w:b/>
          <w:color w:val="auto"/>
          <w:sz w:val="36"/>
          <w:highlight w:val="none"/>
        </w:rPr>
      </w:pPr>
    </w:p>
    <w:p>
      <w:pPr>
        <w:pStyle w:val="12"/>
        <w:spacing w:line="0" w:lineRule="atLeast"/>
        <w:jc w:val="center"/>
        <w:rPr>
          <w:rFonts w:hAnsi="宋体" w:cs="宋体"/>
          <w:b/>
          <w:color w:val="auto"/>
          <w:sz w:val="36"/>
          <w:highlight w:val="none"/>
        </w:rPr>
      </w:pPr>
    </w:p>
    <w:p>
      <w:pPr>
        <w:pStyle w:val="12"/>
        <w:spacing w:line="0" w:lineRule="atLeast"/>
        <w:jc w:val="center"/>
        <w:rPr>
          <w:rFonts w:hAnsi="宋体" w:cs="宋体"/>
          <w:b/>
          <w:color w:val="auto"/>
          <w:sz w:val="36"/>
          <w:highlight w:val="none"/>
        </w:rPr>
      </w:pPr>
    </w:p>
    <w:p>
      <w:pPr>
        <w:pStyle w:val="12"/>
        <w:spacing w:line="400" w:lineRule="exact"/>
        <w:rPr>
          <w:rFonts w:hAnsi="宋体" w:cs="宋体"/>
          <w:b/>
          <w:color w:val="auto"/>
          <w:sz w:val="36"/>
          <w:highlight w:val="none"/>
        </w:rPr>
      </w:pPr>
    </w:p>
    <w:p>
      <w:pPr>
        <w:pStyle w:val="12"/>
        <w:spacing w:line="400" w:lineRule="exact"/>
        <w:rPr>
          <w:rFonts w:hAnsi="宋体" w:cs="宋体"/>
          <w:b/>
          <w:color w:val="auto"/>
          <w:sz w:val="36"/>
          <w:highlight w:val="none"/>
        </w:rPr>
      </w:pPr>
    </w:p>
    <w:p>
      <w:pPr>
        <w:pStyle w:val="12"/>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lang w:eastAsia="zh-CN"/>
        </w:rPr>
        <w:t>鑫达岩字招（2026）051号</w:t>
      </w:r>
    </w:p>
    <w:p>
      <w:pPr>
        <w:spacing w:line="360" w:lineRule="auto"/>
        <w:ind w:firstLine="643" w:firstLineChars="2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lang w:eastAsia="zh-CN"/>
        </w:rPr>
        <w:t>福建省闽西监狱桶装水、瓶装水配送服务采购项目</w:t>
      </w:r>
    </w:p>
    <w:p>
      <w:pPr>
        <w:pStyle w:val="12"/>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福建省闽西监狱</w:t>
      </w:r>
    </w:p>
    <w:p>
      <w:pPr>
        <w:spacing w:line="500" w:lineRule="exact"/>
        <w:rPr>
          <w:rFonts w:ascii="宋体" w:hAnsi="宋体" w:cs="宋体"/>
          <w:b/>
          <w:color w:val="auto"/>
          <w:sz w:val="48"/>
          <w:highlight w:val="none"/>
        </w:rPr>
      </w:pPr>
    </w:p>
    <w:p>
      <w:pPr>
        <w:pStyle w:val="7"/>
        <w:rPr>
          <w:rFonts w:hint="default" w:cs="宋体"/>
          <w:color w:val="auto"/>
          <w:sz w:val="48"/>
          <w:highlight w:val="none"/>
        </w:rPr>
      </w:pPr>
    </w:p>
    <w:p>
      <w:pPr>
        <w:rPr>
          <w:rFonts w:ascii="宋体" w:hAnsi="宋体" w:cs="宋体"/>
          <w:color w:val="auto"/>
          <w:highlight w:val="none"/>
        </w:rPr>
      </w:pPr>
    </w:p>
    <w:p>
      <w:pPr>
        <w:rPr>
          <w:rFonts w:ascii="宋体" w:hAnsi="宋体" w:cs="宋体"/>
          <w:color w:val="auto"/>
          <w:highlight w:val="none"/>
        </w:rPr>
      </w:pPr>
    </w:p>
    <w:p>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w:t>
      </w: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月</w:t>
      </w:r>
    </w:p>
    <w:p>
      <w:pPr>
        <w:pStyle w:val="3"/>
        <w:rPr>
          <w:rFonts w:ascii="宋体" w:hAnsi="宋体" w:cs="宋体"/>
          <w:color w:val="auto"/>
          <w:highlight w:val="none"/>
        </w:rPr>
      </w:pPr>
    </w:p>
    <w:p>
      <w:pPr>
        <w:widowControl/>
        <w:spacing w:line="360" w:lineRule="auto"/>
        <w:ind w:firstLine="643" w:firstLineChars="200"/>
        <w:jc w:val="center"/>
        <w:rPr>
          <w:rFonts w:ascii="宋体" w:hAnsi="宋体" w:cs="宋体"/>
          <w:b/>
          <w:bCs/>
          <w:color w:val="auto"/>
          <w:kern w:val="0"/>
          <w:sz w:val="32"/>
          <w:szCs w:val="32"/>
          <w:highlight w:val="none"/>
        </w:rPr>
      </w:pPr>
    </w:p>
    <w:p>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龙岩市鑫达工程管理有限公司受</w:t>
      </w:r>
      <w:r>
        <w:rPr>
          <w:rFonts w:hint="eastAsia" w:ascii="宋体" w:hAnsi="宋体" w:cs="宋体"/>
          <w:color w:val="auto"/>
          <w:kern w:val="0"/>
          <w:sz w:val="24"/>
          <w:highlight w:val="none"/>
          <w:lang w:eastAsia="zh-CN"/>
        </w:rPr>
        <w:t>福建省闽西监狱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福建省闽西监狱桶装水、瓶装水配送服务采购项目</w:t>
      </w:r>
      <w:r>
        <w:rPr>
          <w:rFonts w:hint="eastAsia" w:ascii="宋体" w:hAnsi="宋体" w:cs="宋体"/>
          <w:color w:val="auto"/>
          <w:kern w:val="0"/>
          <w:sz w:val="24"/>
          <w:highlight w:val="none"/>
        </w:rPr>
        <w:t>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pPr>
        <w:widowControl/>
        <w:spacing w:line="360" w:lineRule="auto"/>
        <w:ind w:firstLine="482" w:firstLineChars="200"/>
        <w:jc w:val="left"/>
        <w:rPr>
          <w:rFonts w:hint="eastAsia" w:ascii="宋体" w:hAnsi="宋体" w:eastAsia="宋体" w:cs="宋体"/>
          <w:color w:val="auto"/>
          <w:sz w:val="24"/>
          <w:highlight w:val="none"/>
          <w:lang w:eastAsia="zh-CN"/>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鑫达岩字招（2026）051号</w:t>
      </w:r>
    </w:p>
    <w:p>
      <w:pPr>
        <w:widowControl/>
        <w:spacing w:line="360" w:lineRule="auto"/>
        <w:ind w:firstLine="482" w:firstLineChars="200"/>
        <w:jc w:val="left"/>
        <w:rPr>
          <w:rFonts w:hint="eastAsia" w:ascii="宋体" w:hAnsi="宋体" w:eastAsia="宋体" w:cs="宋体"/>
          <w:b/>
          <w:bCs/>
          <w:color w:val="auto"/>
          <w:sz w:val="24"/>
          <w:highlight w:val="none"/>
          <w:lang w:eastAsia="zh-CN"/>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福建省闽西监狱桶装水、瓶装水配送服务采购项目</w:t>
      </w:r>
    </w:p>
    <w:p>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w:t>
      </w:r>
      <w:r>
        <w:rPr>
          <w:rFonts w:hint="eastAsia" w:ascii="宋体" w:hAnsi="宋体" w:cs="宋体"/>
          <w:b/>
          <w:color w:val="auto"/>
          <w:sz w:val="24"/>
          <w:highlight w:val="none"/>
          <w:lang w:val="en-US" w:eastAsia="zh-CN"/>
        </w:rPr>
        <w:t>服务</w:t>
      </w:r>
      <w:r>
        <w:rPr>
          <w:rFonts w:ascii="宋体" w:hAnsi="宋体" w:cs="宋体"/>
          <w:b/>
          <w:color w:val="auto"/>
          <w:sz w:val="24"/>
          <w:highlight w:val="none"/>
        </w:rPr>
        <w:t>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pPr>
        <w:pStyle w:val="17"/>
        <w:spacing w:before="0" w:beforeAutospacing="0" w:after="0" w:afterAutospacing="0" w:line="360" w:lineRule="auto"/>
        <w:ind w:firstLine="480"/>
        <w:rPr>
          <w:b/>
          <w:bCs/>
          <w:color w:val="auto"/>
          <w:highlight w:val="none"/>
        </w:rPr>
      </w:pPr>
      <w:r>
        <w:rPr>
          <w:b/>
          <w:bCs/>
          <w:color w:val="auto"/>
          <w:highlight w:val="none"/>
        </w:rPr>
        <w:t>4.报名及竞价时间安排：</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08</w:t>
      </w:r>
      <w:r>
        <w:rPr>
          <w:rFonts w:ascii="宋体" w:hAnsi="宋体" w:cs="宋体"/>
          <w:color w:val="auto"/>
          <w:kern w:val="0"/>
          <w:sz w:val="24"/>
          <w:highlight w:val="none"/>
        </w:rPr>
        <w:t>日 09:00:00</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ascii="宋体" w:hAnsi="宋体" w:cs="宋体"/>
          <w:color w:val="auto"/>
          <w:kern w:val="0"/>
          <w:sz w:val="24"/>
          <w:highlight w:val="none"/>
        </w:rPr>
        <w:t>日 17:00:00</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ascii="宋体" w:hAnsi="宋体" w:cs="宋体"/>
          <w:color w:val="auto"/>
          <w:kern w:val="0"/>
          <w:sz w:val="24"/>
          <w:highlight w:val="none"/>
        </w:rPr>
        <w:t>日 09:00:00</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ascii="宋体" w:hAnsi="宋体" w:cs="宋体"/>
          <w:color w:val="auto"/>
          <w:kern w:val="0"/>
          <w:sz w:val="24"/>
          <w:highlight w:val="none"/>
        </w:rPr>
        <w:t>日 11:00:00</w:t>
      </w:r>
    </w:p>
    <w:p>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本网上竞价文件所述</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的法人、事业单位及其他组织</w:t>
      </w:r>
      <w:r>
        <w:rPr>
          <w:rFonts w:hint="eastAsia" w:ascii="宋体" w:hAnsi="宋体" w:eastAsia="宋体" w:cs="宋体"/>
          <w:color w:val="auto"/>
          <w:sz w:val="24"/>
          <w:highlight w:val="none"/>
        </w:rPr>
        <w:t>均可能成为合格的供应商；</w:t>
      </w:r>
    </w:p>
    <w:p>
      <w:pPr>
        <w:pStyle w:val="25"/>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hint="eastAsia"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⑤特定资格要求</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供应商须提供有效的《食品经营许可证》或</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仅销售预包装食品经营者备案信息采集表</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或《食品生产许可证》，须提供相关证件复印件并加盖供应商公章。在竞价截止时间前，如因国家政策调整，国家有关行政部门有新的食品经营销售方面规定的，应从其规定，但供应商须在响应文件中做出书面说明并附上有关制度规定予以佐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0"/>
        <w:textAlignment w:val="auto"/>
        <w:rPr>
          <w:rFonts w:ascii="宋体" w:hAnsi="宋体" w:cs="宋体"/>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numPr>
          <w:ilvl w:val="0"/>
          <w:numId w:val="0"/>
        </w:numPr>
        <w:spacing w:line="360" w:lineRule="auto"/>
        <w:ind w:firstLine="481" w:firstLineChars="0"/>
        <w:rPr>
          <w:rFonts w:ascii="宋体" w:hAnsi="宋体" w:cs="宋体"/>
          <w:color w:val="auto"/>
          <w:sz w:val="24"/>
          <w:highlight w:val="none"/>
        </w:rPr>
      </w:pPr>
      <w:r>
        <w:rPr>
          <w:rFonts w:ascii="宋体" w:hAnsi="宋体" w:eastAsia="宋体" w:cs="宋体"/>
          <w:color w:val="auto"/>
          <w:kern w:val="2"/>
          <w:sz w:val="24"/>
          <w:szCs w:val="24"/>
          <w:highlight w:val="none"/>
          <w:lang w:val="en-US" w:eastAsia="zh-CN" w:bidi="ar-SA"/>
        </w:rPr>
        <w:t>（4）</w:t>
      </w:r>
      <w:r>
        <w:rPr>
          <w:rFonts w:hint="eastAsia" w:ascii="宋体" w:hAnsi="宋体" w:cs="宋体"/>
          <w:color w:val="auto"/>
          <w:sz w:val="24"/>
          <w:highlight w:val="none"/>
        </w:rPr>
        <w:t>本项目是否接受联合体竞价：不接受。</w:t>
      </w:r>
    </w:p>
    <w:p>
      <w:pPr>
        <w:widowControl/>
        <w:shd w:val="clear" w:color="auto" w:fill="FFFFFF"/>
        <w:spacing w:line="360" w:lineRule="auto"/>
        <w:ind w:firstLine="480" w:firstLineChars="200"/>
        <w:jc w:val="left"/>
        <w:rPr>
          <w:rStyle w:val="26"/>
          <w:rFonts w:ascii="宋体" w:hAnsi="宋体" w:cs="宋体"/>
          <w:color w:val="auto"/>
          <w:highlight w:val="none"/>
        </w:rPr>
      </w:pPr>
      <w:r>
        <w:rPr>
          <w:rStyle w:val="26"/>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随竞价材料上传。</w:t>
      </w:r>
    </w:p>
    <w:p>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hint="eastAsia" w:ascii="宋体" w:hAnsi="宋体" w:cs="宋体"/>
          <w:b/>
          <w:bCs/>
          <w:color w:val="auto"/>
          <w:sz w:val="24"/>
          <w:highlight w:val="none"/>
          <w:u w:val="single"/>
          <w:lang w:val="en-US" w:eastAsia="zh-CN"/>
        </w:rPr>
        <w:t>2000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，网上竞价保证金须以对公转账、支票、汇票等非现金形式提交且应在报名截止时间前到达指定账户，否则报名审核不合格。采购代理机构将以网上竞价保证金收款银行提供的保证金到账时间为依据进行确认。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w:t>
      </w:r>
      <w:r>
        <w:rPr>
          <w:rFonts w:hint="eastAsia" w:ascii="宋体" w:hAnsi="宋体" w:cs="宋体"/>
          <w:bCs/>
          <w:color w:val="auto"/>
          <w:kern w:val="0"/>
          <w:sz w:val="24"/>
          <w:highlight w:val="none"/>
          <w:shd w:val="clear" w:color="auto" w:fill="FFFFFF"/>
          <w:lang w:val="en-US" w:eastAsia="zh-CN"/>
        </w:rPr>
        <w:t>成交金额</w:t>
      </w:r>
      <w:r>
        <w:rPr>
          <w:rFonts w:hint="eastAsia" w:ascii="宋体" w:hAnsi="宋体" w:cs="宋体"/>
          <w:bCs/>
          <w:color w:val="auto"/>
          <w:kern w:val="0"/>
          <w:sz w:val="24"/>
          <w:highlight w:val="none"/>
          <w:shd w:val="clear" w:color="auto" w:fill="FFFFFF"/>
        </w:rPr>
        <w:t>为计算基数；</w:t>
      </w:r>
    </w:p>
    <w:p>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ascii="宋体" w:hAnsi="宋体" w:cs="宋体"/>
          <w:bCs/>
          <w:color w:val="auto"/>
          <w:kern w:val="0"/>
          <w:sz w:val="24"/>
          <w:highlight w:val="none"/>
          <w:shd w:val="clear" w:color="auto" w:fill="FFFFFF"/>
        </w:rPr>
        <w:t>50（含，下同）以下按1%</w:t>
      </w:r>
      <w:r>
        <w:rPr>
          <w:rFonts w:hint="eastAsia" w:ascii="宋体" w:hAnsi="宋体" w:cs="宋体"/>
          <w:bCs/>
          <w:color w:val="auto"/>
          <w:kern w:val="0"/>
          <w:sz w:val="24"/>
          <w:highlight w:val="none"/>
          <w:shd w:val="clear" w:color="auto" w:fill="FFFFFF"/>
          <w:lang w:eastAsia="zh-CN"/>
        </w:rPr>
        <w:t>，</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hint="eastAsia" w:ascii="宋体" w:hAnsi="宋体" w:cs="宋体"/>
          <w:bCs/>
          <w:color w:val="auto"/>
          <w:kern w:val="0"/>
          <w:sz w:val="24"/>
          <w:highlight w:val="none"/>
          <w:shd w:val="clear" w:color="auto" w:fill="FFFFFF"/>
          <w:lang w:val="en-US" w:eastAsia="zh-CN"/>
        </w:rPr>
        <w:t>50-100（含100）按0.9%。</w:t>
      </w:r>
    </w:p>
    <w:p>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福建省闽西监狱</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eastAsia="zh-CN"/>
        </w:rPr>
        <w:t>福建省龙岩市新罗区凤凰北路2号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lang w:val="en-US" w:eastAsia="zh-CN"/>
        </w:rPr>
        <w:t>赖</w:t>
      </w:r>
      <w:r>
        <w:rPr>
          <w:rFonts w:hint="eastAsia" w:ascii="宋体" w:hAnsi="宋体" w:cs="宋体"/>
          <w:color w:val="auto"/>
          <w:sz w:val="24"/>
          <w:highlight w:val="none"/>
        </w:rPr>
        <w:t xml:space="preserve">先生，0597-5309186 </w:t>
      </w:r>
    </w:p>
    <w:p>
      <w:pPr>
        <w:pStyle w:val="11"/>
        <w:rPr>
          <w:rFonts w:ascii="宋体" w:hAnsi="宋体" w:cs="宋体"/>
          <w:color w:val="auto"/>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pPr>
        <w:spacing w:line="360" w:lineRule="auto"/>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p>
    <w:p>
      <w:pPr>
        <w:pStyle w:val="7"/>
        <w:rPr>
          <w:rFonts w:hint="default" w:cs="宋体"/>
          <w:color w:val="auto"/>
          <w:highlight w:val="none"/>
        </w:rPr>
      </w:pPr>
    </w:p>
    <w:p>
      <w:pPr>
        <w:spacing w:line="360" w:lineRule="auto"/>
        <w:jc w:val="center"/>
        <w:rPr>
          <w:rFonts w:ascii="宋体" w:hAnsi="宋体" w:cs="宋体"/>
          <w:b/>
          <w:color w:val="auto"/>
          <w:kern w:val="0"/>
          <w:sz w:val="32"/>
          <w:szCs w:val="32"/>
          <w:highlight w:val="none"/>
        </w:rPr>
      </w:pPr>
    </w:p>
    <w:p>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2"/>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pPr>
        <w:spacing w:line="360" w:lineRule="auto"/>
        <w:ind w:firstLine="482" w:firstLineChars="200"/>
        <w:rPr>
          <w:rStyle w:val="26"/>
          <w:rFonts w:ascii="宋体" w:hAnsi="宋体" w:cs="宋体"/>
          <w:b/>
          <w:bCs/>
          <w:color w:val="auto"/>
          <w:kern w:val="0"/>
          <w:sz w:val="24"/>
          <w:highlight w:val="none"/>
        </w:rPr>
      </w:pPr>
      <w:r>
        <w:rPr>
          <w:rStyle w:val="26"/>
          <w:rFonts w:hint="eastAsia" w:ascii="宋体" w:hAnsi="宋体" w:cs="宋体"/>
          <w:b/>
          <w:bCs/>
          <w:color w:val="auto"/>
          <w:kern w:val="0"/>
          <w:sz w:val="24"/>
          <w:highlight w:val="none"/>
        </w:rPr>
        <w:t>二、报名须知</w:t>
      </w:r>
    </w:p>
    <w:p>
      <w:pPr>
        <w:widowControl/>
        <w:spacing w:line="360" w:lineRule="auto"/>
        <w:ind w:firstLine="480" w:firstLineChars="200"/>
        <w:jc w:val="left"/>
        <w:rPr>
          <w:rStyle w:val="26"/>
          <w:rFonts w:ascii="宋体" w:hAnsi="宋体" w:cs="宋体"/>
          <w:color w:val="auto"/>
          <w:kern w:val="0"/>
          <w:sz w:val="24"/>
          <w:highlight w:val="none"/>
        </w:rPr>
      </w:pPr>
      <w:r>
        <w:rPr>
          <w:rStyle w:val="26"/>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6"/>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6"/>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6"/>
          <w:rFonts w:hint="eastAsia" w:ascii="宋体" w:hAnsi="宋体" w:cs="宋体"/>
          <w:color w:val="auto"/>
          <w:kern w:val="0"/>
          <w:sz w:val="24"/>
          <w:highlight w:val="none"/>
        </w:rPr>
        <w:t>）</w:t>
      </w:r>
      <w:r>
        <w:rPr>
          <w:rStyle w:val="26"/>
          <w:rFonts w:hint="eastAsia" w:ascii="宋体" w:hAnsi="宋体" w:cs="宋体"/>
          <w:b/>
          <w:bCs/>
          <w:color w:val="auto"/>
          <w:kern w:val="0"/>
          <w:sz w:val="24"/>
          <w:highlight w:val="none"/>
        </w:rPr>
        <w:t>。</w:t>
      </w:r>
      <w:r>
        <w:rPr>
          <w:rStyle w:val="26"/>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6"/>
          <w:rFonts w:hint="eastAsia" w:ascii="宋体" w:hAnsi="宋体" w:cs="宋体"/>
          <w:color w:val="auto"/>
          <w:sz w:val="24"/>
          <w:highlight w:val="none"/>
        </w:rPr>
        <w:t>按本文件第五章“第一部分</w:t>
      </w:r>
      <w:r>
        <w:rPr>
          <w:rStyle w:val="26"/>
          <w:rFonts w:ascii="宋体" w:hAnsi="宋体" w:cs="宋体"/>
          <w:color w:val="auto"/>
          <w:sz w:val="24"/>
          <w:highlight w:val="none"/>
        </w:rPr>
        <w:t xml:space="preserve"> </w:t>
      </w:r>
      <w:r>
        <w:rPr>
          <w:rStyle w:val="26"/>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6"/>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pPr>
        <w:pStyle w:val="17"/>
        <w:spacing w:before="75" w:beforeAutospacing="0" w:after="75" w:afterAutospacing="0" w:line="360" w:lineRule="auto"/>
        <w:ind w:firstLine="480"/>
        <w:rPr>
          <w:rStyle w:val="26"/>
          <w:rFonts w:ascii="宋体" w:hAnsi="宋体" w:cs="宋体"/>
          <w:b/>
          <w:bCs/>
          <w:color w:val="auto"/>
          <w:sz w:val="24"/>
          <w:highlight w:val="none"/>
        </w:rPr>
      </w:pPr>
      <w:r>
        <w:rPr>
          <w:color w:val="auto"/>
          <w:kern w:val="0"/>
          <w:sz w:val="24"/>
          <w:highlight w:val="none"/>
        </w:rPr>
        <w:t>3.</w:t>
      </w:r>
      <w:r>
        <w:rPr>
          <w:rStyle w:val="26"/>
          <w:rFonts w:hint="eastAsia"/>
          <w:color w:val="auto"/>
          <w:sz w:val="24"/>
          <w:highlight w:val="none"/>
        </w:rPr>
        <w:t>供应商提交的响应文件符合网上竞价文件要求的（即不存在网上竞价文件中规定的无效响应情形的）方可在网上竞价时间内参与竞价</w:t>
      </w:r>
      <w:r>
        <w:rPr>
          <w:rStyle w:val="26"/>
          <w:color w:val="auto"/>
          <w:sz w:val="24"/>
          <w:highlight w:val="none"/>
        </w:rPr>
        <w:t>。</w:t>
      </w:r>
      <w:r>
        <w:rPr>
          <w:rStyle w:val="26"/>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6"/>
          <w:rFonts w:hint="eastAsia" w:ascii="宋体" w:hAnsi="宋体" w:cs="宋体"/>
          <w:color w:val="auto"/>
          <w:highlight w:val="none"/>
        </w:rPr>
        <w:t>力</w:t>
      </w:r>
      <w:r>
        <w:rPr>
          <w:rStyle w:val="26"/>
          <w:rFonts w:hint="eastAsia" w:ascii="宋体" w:hAnsi="宋体" w:cs="宋体"/>
          <w:color w:val="auto"/>
          <w:sz w:val="24"/>
          <w:highlight w:val="none"/>
        </w:rPr>
        <w:t>。</w:t>
      </w:r>
      <w:r>
        <w:rPr>
          <w:rStyle w:val="26"/>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cs="宋体"/>
          <w:color w:val="auto"/>
          <w:sz w:val="24"/>
          <w:highlight w:val="none"/>
        </w:rPr>
        <w:t>本次采购活动结束，采购人将按照相关规定进行后续采购活动（包括但不限于：重新开展网上竞价活动、采用其他方式采购等）。</w:t>
      </w:r>
    </w:p>
    <w:p>
      <w:pPr>
        <w:pStyle w:val="17"/>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3"/>
          <w:rFonts w:hint="eastAsia"/>
          <w:color w:val="auto"/>
          <w:highlight w:val="none"/>
        </w:rPr>
        <w:t>报名审核不合格，视为无效响应：</w:t>
      </w:r>
    </w:p>
    <w:p>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pPr>
        <w:spacing w:line="360" w:lineRule="auto"/>
        <w:ind w:firstLine="482" w:firstLineChars="200"/>
        <w:rPr>
          <w:rFonts w:ascii="宋体" w:hAnsi="宋体" w:cs="宋体"/>
          <w:b/>
          <w:bCs/>
          <w:color w:val="auto"/>
          <w:kern w:val="0"/>
          <w:sz w:val="24"/>
          <w:highlight w:val="none"/>
        </w:rPr>
      </w:pPr>
      <w:r>
        <w:rPr>
          <w:rStyle w:val="26"/>
          <w:rFonts w:hint="eastAsia" w:ascii="宋体" w:hAnsi="宋体" w:cs="宋体"/>
          <w:b/>
          <w:bCs/>
          <w:color w:val="auto"/>
          <w:kern w:val="0"/>
          <w:sz w:val="24"/>
          <w:highlight w:val="none"/>
        </w:rPr>
        <w:t>三、网上</w:t>
      </w:r>
      <w:r>
        <w:rPr>
          <w:rStyle w:val="26"/>
          <w:rFonts w:ascii="宋体" w:hAnsi="宋体" w:cs="宋体"/>
          <w:b/>
          <w:bCs/>
          <w:color w:val="auto"/>
          <w:kern w:val="0"/>
          <w:sz w:val="24"/>
          <w:highlight w:val="none"/>
        </w:rPr>
        <w:t>竞价规则</w:t>
      </w:r>
    </w:p>
    <w:p>
      <w:pPr>
        <w:pStyle w:val="17"/>
        <w:spacing w:before="75" w:beforeAutospacing="0" w:after="75" w:afterAutospacing="0" w:line="360" w:lineRule="auto"/>
        <w:ind w:firstLine="480"/>
        <w:rPr>
          <w:rStyle w:val="26"/>
          <w:rFonts w:ascii="宋体" w:hAnsi="宋体" w:cs="宋体"/>
          <w:color w:val="auto"/>
          <w:kern w:val="0"/>
          <w:sz w:val="24"/>
          <w:highlight w:val="none"/>
        </w:rPr>
      </w:pPr>
      <w:r>
        <w:rPr>
          <w:color w:val="auto"/>
          <w:kern w:val="0"/>
          <w:sz w:val="24"/>
          <w:highlight w:val="none"/>
        </w:rPr>
        <w:t>1.</w:t>
      </w:r>
      <w:r>
        <w:rPr>
          <w:rStyle w:val="26"/>
          <w:color w:val="auto"/>
          <w:kern w:val="0"/>
          <w:sz w:val="24"/>
          <w:highlight w:val="none"/>
        </w:rPr>
        <w:t>网上竞价的报价时限为</w:t>
      </w:r>
      <w:r>
        <w:rPr>
          <w:rStyle w:val="26"/>
          <w:rFonts w:hint="eastAsia"/>
          <w:color w:val="auto"/>
          <w:kern w:val="0"/>
          <w:sz w:val="24"/>
          <w:highlight w:val="none"/>
        </w:rPr>
        <w:t>网上竞价开始时间起至网上竞价截止时间止，在此期间内</w:t>
      </w:r>
      <w:r>
        <w:rPr>
          <w:rStyle w:val="26"/>
          <w:color w:val="auto"/>
          <w:kern w:val="0"/>
          <w:sz w:val="24"/>
          <w:highlight w:val="none"/>
        </w:rPr>
        <w:t>，报名审核</w:t>
      </w:r>
      <w:r>
        <w:rPr>
          <w:rStyle w:val="26"/>
          <w:rFonts w:hint="eastAsia"/>
          <w:color w:val="auto"/>
          <w:kern w:val="0"/>
          <w:sz w:val="24"/>
          <w:highlight w:val="none"/>
        </w:rPr>
        <w:t>通过</w:t>
      </w:r>
      <w:r>
        <w:rPr>
          <w:rStyle w:val="26"/>
          <w:color w:val="auto"/>
          <w:kern w:val="0"/>
          <w:sz w:val="24"/>
          <w:highlight w:val="none"/>
        </w:rPr>
        <w:t>的</w:t>
      </w:r>
      <w:r>
        <w:rPr>
          <w:rStyle w:val="26"/>
          <w:rFonts w:hint="eastAsia"/>
          <w:color w:val="auto"/>
          <w:kern w:val="0"/>
          <w:sz w:val="24"/>
          <w:highlight w:val="none"/>
        </w:rPr>
        <w:t>供应商</w:t>
      </w:r>
      <w:r>
        <w:rPr>
          <w:rStyle w:val="26"/>
          <w:color w:val="auto"/>
          <w:kern w:val="0"/>
          <w:sz w:val="24"/>
          <w:highlight w:val="none"/>
        </w:rPr>
        <w:t>可通过</w:t>
      </w:r>
      <w:r>
        <w:rPr>
          <w:rStyle w:val="26"/>
          <w:rFonts w:hint="eastAsia"/>
          <w:color w:val="auto"/>
          <w:kern w:val="0"/>
          <w:sz w:val="24"/>
          <w:highlight w:val="none"/>
        </w:rPr>
        <w:t>网上竞价平台</w:t>
      </w:r>
      <w:r>
        <w:rPr>
          <w:rStyle w:val="26"/>
          <w:color w:val="auto"/>
          <w:kern w:val="0"/>
          <w:sz w:val="24"/>
          <w:highlight w:val="none"/>
        </w:rPr>
        <w:t>参与</w:t>
      </w:r>
      <w:r>
        <w:rPr>
          <w:rStyle w:val="26"/>
          <w:rFonts w:hint="eastAsia"/>
          <w:color w:val="auto"/>
          <w:kern w:val="0"/>
          <w:sz w:val="24"/>
          <w:highlight w:val="none"/>
        </w:rPr>
        <w:t>网上</w:t>
      </w:r>
      <w:r>
        <w:rPr>
          <w:rStyle w:val="26"/>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6"/>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pPr>
        <w:pageBreakBefore w:val="0"/>
        <w:widowControl/>
        <w:kinsoku/>
        <w:wordWrap/>
        <w:topLinePunct w:val="0"/>
        <w:bidi w:val="0"/>
        <w:spacing w:line="360" w:lineRule="auto"/>
        <w:ind w:firstLine="482" w:firstLineChars="200"/>
        <w:jc w:val="left"/>
        <w:textAlignment w:val="baseline"/>
        <w:rPr>
          <w:rStyle w:val="26"/>
          <w:rFonts w:hint="eastAsia" w:ascii="宋体" w:hAnsi="宋体"/>
          <w:b/>
          <w:bCs/>
          <w:color w:val="auto"/>
          <w:kern w:val="0"/>
          <w:sz w:val="24"/>
          <w:highlight w:val="none"/>
          <w:lang w:val="en-US"/>
        </w:rPr>
      </w:pPr>
      <w:r>
        <w:rPr>
          <w:rFonts w:hint="eastAsia" w:ascii="宋体" w:hAnsi="宋体" w:cs="宋体"/>
          <w:b/>
          <w:bCs/>
          <w:color w:val="auto"/>
          <w:sz w:val="24"/>
          <w:highlight w:val="none"/>
        </w:rPr>
        <w:t>2.</w:t>
      </w:r>
      <w:r>
        <w:rPr>
          <w:rStyle w:val="26"/>
          <w:rFonts w:hint="eastAsia" w:ascii="宋体" w:hAnsi="宋体"/>
          <w:b w:val="0"/>
          <w:bCs w:val="0"/>
          <w:color w:val="auto"/>
          <w:kern w:val="0"/>
          <w:sz w:val="24"/>
          <w:highlight w:val="none"/>
          <w:lang w:val="en-US"/>
        </w:rPr>
        <w:t>供应商首次提交的报价总价须低于本项目总价最高限价的3%以上（不含3%）[即本项目供应商首次提交的报价下浮率须高于3%以上（不含3%）]，否则视为无效报价。</w:t>
      </w:r>
      <w:r>
        <w:rPr>
          <w:rStyle w:val="26"/>
          <w:rFonts w:hint="eastAsia" w:ascii="宋体" w:hAnsi="宋体"/>
          <w:b/>
          <w:bCs/>
          <w:color w:val="auto"/>
          <w:kern w:val="0"/>
          <w:sz w:val="24"/>
          <w:highlight w:val="none"/>
          <w:lang w:val="en-US"/>
        </w:rPr>
        <w:t>（如供应商首次提交的报价未按竞价文件要求低于本项目总价最高限价的3%以上（不含3%）</w:t>
      </w:r>
      <w:r>
        <w:rPr>
          <w:rStyle w:val="26"/>
          <w:rFonts w:hint="eastAsia" w:ascii="宋体" w:hAnsi="宋体"/>
          <w:b w:val="0"/>
          <w:bCs w:val="0"/>
          <w:color w:val="auto"/>
          <w:kern w:val="0"/>
          <w:sz w:val="24"/>
          <w:highlight w:val="none"/>
          <w:lang w:val="en-US"/>
        </w:rPr>
        <w:t>[即供应商首次提交的报价下浮率未按竞价文件要求高于3%以上（不含3%）]</w:t>
      </w:r>
      <w:r>
        <w:rPr>
          <w:rStyle w:val="26"/>
          <w:rFonts w:hint="eastAsia" w:ascii="宋体" w:hAnsi="宋体"/>
          <w:b/>
          <w:bCs/>
          <w:color w:val="auto"/>
          <w:kern w:val="0"/>
          <w:sz w:val="24"/>
          <w:highlight w:val="none"/>
          <w:lang w:val="en-US"/>
        </w:rPr>
        <w:t>，继续在竞价平台上参与竞价、最终报价为最低者[即最终报价下浮率为最高者]，该供应商仍然不能成为本项目的供应商；当最低报价供应商的报价[即最高报价下浮率供应商的报价下浮率]不符合竞价要求时，则第二低价报价[即第二高报价下浮率]的供应商成为本项目的供应商。）</w:t>
      </w:r>
    </w:p>
    <w:p>
      <w:pPr>
        <w:pageBreakBefore w:val="0"/>
        <w:widowControl/>
        <w:kinsoku/>
        <w:wordWrap/>
        <w:topLinePunct w:val="0"/>
        <w:bidi w:val="0"/>
        <w:spacing w:line="360" w:lineRule="auto"/>
        <w:ind w:firstLine="480" w:firstLineChars="200"/>
        <w:jc w:val="left"/>
        <w:textAlignment w:val="baseline"/>
        <w:rPr>
          <w:rFonts w:ascii="宋体" w:hAnsi="宋体" w:cs="宋体"/>
          <w:color w:val="auto"/>
          <w:highlight w:val="none"/>
        </w:rPr>
      </w:pPr>
      <w:r>
        <w:rPr>
          <w:rStyle w:val="26"/>
          <w:rFonts w:hint="eastAsia" w:ascii="宋体" w:hAnsi="宋体"/>
          <w:b w:val="0"/>
          <w:bCs w:val="0"/>
          <w:color w:val="auto"/>
          <w:kern w:val="0"/>
          <w:sz w:val="24"/>
          <w:highlight w:val="none"/>
          <w:lang w:val="en-US"/>
        </w:rPr>
        <w:t>在网上竞价时间内、同一供应商有多次报价的情况下，则该供应商的每一次报价金额必须小于自己上一次的报价金额[即该供应商的每一次报价下浮率必须高于自己上一次的报价下浮率]，同时以该供应商提交的最后一次报价作为其最终有效报价。</w:t>
      </w:r>
    </w:p>
    <w:p>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hint="eastAsia" w:ascii="宋体" w:hAnsi="宋体" w:cs="宋体"/>
          <w:bCs/>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r>
        <w:rPr>
          <w:rFonts w:hint="eastAsia" w:ascii="宋体" w:hAnsi="宋体" w:cs="宋体"/>
          <w:bCs/>
          <w:color w:val="auto"/>
          <w:kern w:val="0"/>
          <w:sz w:val="24"/>
          <w:highlight w:val="none"/>
        </w:rPr>
        <w:t>所上传报价</w:t>
      </w:r>
    </w:p>
    <w:p>
      <w:pPr>
        <w:widowControl/>
        <w:spacing w:line="360" w:lineRule="auto"/>
        <w:jc w:val="left"/>
        <w:rPr>
          <w:rFonts w:ascii="宋体" w:hAnsi="宋体" w:cs="宋体"/>
          <w:color w:val="auto"/>
          <w:kern w:val="0"/>
          <w:sz w:val="24"/>
          <w:highlight w:val="none"/>
        </w:rPr>
      </w:pPr>
      <w:r>
        <w:rPr>
          <w:rFonts w:hint="eastAsia" w:ascii="宋体" w:hAnsi="宋体" w:cs="宋体"/>
          <w:bCs/>
          <w:color w:val="auto"/>
          <w:kern w:val="0"/>
          <w:sz w:val="24"/>
          <w:highlight w:val="none"/>
        </w:rPr>
        <w:t>文件与竞价系统记录不一致的，以竞价系统记录的数据为准。</w:t>
      </w:r>
    </w:p>
    <w:p>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bookmarkStart w:id="9" w:name="_GoBack"/>
      <w:bookmarkEnd w:id="9"/>
    </w:p>
    <w:p>
      <w:pPr>
        <w:widowControl/>
        <w:spacing w:line="360" w:lineRule="auto"/>
        <w:ind w:firstLine="480" w:firstLineChars="200"/>
        <w:jc w:val="left"/>
        <w:textAlignment w:val="baseline"/>
        <w:rPr>
          <w:rStyle w:val="26"/>
          <w:rFonts w:ascii="宋体" w:hAnsi="宋体" w:cs="宋体"/>
          <w:color w:val="auto"/>
          <w:kern w:val="0"/>
          <w:sz w:val="24"/>
          <w:highlight w:val="none"/>
        </w:rPr>
      </w:pPr>
      <w:r>
        <w:rPr>
          <w:rFonts w:ascii="宋体" w:hAnsi="宋体" w:cs="宋体"/>
          <w:color w:val="auto"/>
          <w:sz w:val="24"/>
          <w:highlight w:val="none"/>
        </w:rPr>
        <w:t>1.</w:t>
      </w:r>
      <w:r>
        <w:rPr>
          <w:rStyle w:val="26"/>
          <w:rFonts w:hint="eastAsia" w:ascii="宋体" w:hAnsi="宋体" w:cs="宋体"/>
          <w:color w:val="auto"/>
          <w:kern w:val="0"/>
          <w:sz w:val="24"/>
          <w:highlight w:val="none"/>
        </w:rPr>
        <w:t>供应商</w:t>
      </w:r>
      <w:r>
        <w:rPr>
          <w:rStyle w:val="26"/>
          <w:rFonts w:ascii="宋体" w:hAnsi="宋体" w:cs="宋体"/>
          <w:color w:val="auto"/>
          <w:kern w:val="0"/>
          <w:sz w:val="24"/>
          <w:highlight w:val="none"/>
        </w:rPr>
        <w:t>在</w:t>
      </w:r>
      <w:r>
        <w:rPr>
          <w:rStyle w:val="26"/>
          <w:rFonts w:hint="eastAsia" w:ascii="宋体" w:hAnsi="宋体" w:cs="宋体"/>
          <w:color w:val="auto"/>
          <w:kern w:val="0"/>
          <w:sz w:val="24"/>
          <w:highlight w:val="none"/>
        </w:rPr>
        <w:t>完全满足网上竞价文件要求</w:t>
      </w:r>
      <w:r>
        <w:rPr>
          <w:rStyle w:val="26"/>
          <w:rFonts w:ascii="宋体" w:hAnsi="宋体" w:cs="宋体"/>
          <w:color w:val="auto"/>
          <w:kern w:val="0"/>
          <w:sz w:val="24"/>
          <w:highlight w:val="none"/>
        </w:rPr>
        <w:t>且报价有效的前提下，</w:t>
      </w:r>
      <w:r>
        <w:rPr>
          <w:rStyle w:val="26"/>
          <w:rFonts w:hint="eastAsia" w:ascii="宋体" w:hAnsi="宋体" w:cs="宋体"/>
          <w:color w:val="auto"/>
          <w:kern w:val="0"/>
          <w:sz w:val="24"/>
          <w:highlight w:val="none"/>
        </w:rPr>
        <w:t>最终有效报价</w:t>
      </w:r>
      <w:r>
        <w:rPr>
          <w:rStyle w:val="26"/>
          <w:rFonts w:ascii="宋体" w:hAnsi="宋体" w:cs="宋体"/>
          <w:color w:val="auto"/>
          <w:kern w:val="0"/>
          <w:sz w:val="24"/>
          <w:highlight w:val="none"/>
        </w:rPr>
        <w:t>最低者</w:t>
      </w:r>
      <w:r>
        <w:rPr>
          <w:rStyle w:val="26"/>
          <w:rFonts w:hint="eastAsia" w:ascii="宋体" w:hAnsi="宋体" w:cs="宋体"/>
          <w:color w:val="auto"/>
          <w:kern w:val="0"/>
          <w:sz w:val="24"/>
          <w:highlight w:val="none"/>
        </w:rPr>
        <w:t>为</w:t>
      </w:r>
      <w:r>
        <w:rPr>
          <w:rStyle w:val="26"/>
          <w:rFonts w:ascii="宋体" w:hAnsi="宋体" w:cs="宋体"/>
          <w:color w:val="auto"/>
          <w:kern w:val="0"/>
          <w:sz w:val="24"/>
          <w:highlight w:val="none"/>
        </w:rPr>
        <w:t>成交</w:t>
      </w:r>
      <w:r>
        <w:rPr>
          <w:rStyle w:val="26"/>
          <w:rFonts w:hint="eastAsia" w:ascii="宋体" w:hAnsi="宋体" w:cs="宋体"/>
          <w:color w:val="auto"/>
          <w:kern w:val="0"/>
          <w:sz w:val="24"/>
          <w:highlight w:val="none"/>
        </w:rPr>
        <w:t>候选人</w:t>
      </w:r>
      <w:r>
        <w:rPr>
          <w:rStyle w:val="26"/>
          <w:rFonts w:ascii="宋体" w:hAnsi="宋体" w:cs="宋体"/>
          <w:color w:val="auto"/>
          <w:kern w:val="0"/>
          <w:sz w:val="24"/>
          <w:highlight w:val="none"/>
        </w:rPr>
        <w:t>，若</w:t>
      </w:r>
      <w:r>
        <w:rPr>
          <w:rStyle w:val="26"/>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6"/>
          <w:rFonts w:hint="eastAsia" w:ascii="宋体" w:hAnsi="宋体" w:cs="宋体"/>
          <w:b/>
          <w:bCs/>
          <w:color w:val="auto"/>
          <w:sz w:val="24"/>
          <w:highlight w:val="none"/>
        </w:rPr>
        <w:t>成交公告发布后成交供应商须提供与网上竞价平台中电子响应文件内容相同的纸质响应文件</w:t>
      </w:r>
      <w:r>
        <w:rPr>
          <w:rStyle w:val="26"/>
          <w:rFonts w:ascii="宋体" w:hAnsi="宋体" w:cs="宋体"/>
          <w:b/>
          <w:bCs/>
          <w:color w:val="auto"/>
          <w:sz w:val="24"/>
          <w:highlight w:val="none"/>
        </w:rPr>
        <w:t xml:space="preserve">1套正本、3套副本，副本可以是正本的完整复印件。纸质响应文件应包含“第一部分 </w:t>
      </w:r>
      <w:r>
        <w:rPr>
          <w:rStyle w:val="26"/>
          <w:rFonts w:hint="eastAsia" w:ascii="宋体" w:hAnsi="宋体" w:cs="宋体"/>
          <w:b/>
          <w:bCs/>
          <w:color w:val="auto"/>
          <w:sz w:val="24"/>
          <w:highlight w:val="none"/>
        </w:rPr>
        <w:t>资格及技术商务部分”和“第二部分</w:t>
      </w:r>
      <w:r>
        <w:rPr>
          <w:rStyle w:val="26"/>
          <w:rFonts w:ascii="宋体" w:hAnsi="宋体" w:cs="宋体"/>
          <w:b/>
          <w:bCs/>
          <w:color w:val="auto"/>
          <w:sz w:val="24"/>
          <w:highlight w:val="none"/>
        </w:rPr>
        <w:t xml:space="preserve"> </w:t>
      </w:r>
      <w:r>
        <w:rPr>
          <w:rStyle w:val="26"/>
          <w:rFonts w:hint="eastAsia" w:ascii="宋体" w:hAnsi="宋体" w:cs="宋体"/>
          <w:b/>
          <w:bCs/>
          <w:color w:val="auto"/>
          <w:sz w:val="24"/>
          <w:highlight w:val="none"/>
        </w:rPr>
        <w:t>报价部分”，纸质响应文件须逐页加盖公章（或骑缝章）且装订成册。</w:t>
      </w:r>
    </w:p>
    <w:p>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pPr>
        <w:pStyle w:val="14"/>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pPr>
        <w:pStyle w:val="14"/>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pPr>
        <w:pStyle w:val="14"/>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pPr>
        <w:pStyle w:val="14"/>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7"/>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6"/>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6"/>
          <w:rFonts w:hint="eastAsia"/>
          <w:color w:val="auto"/>
          <w:kern w:val="0"/>
          <w:sz w:val="24"/>
          <w:highlight w:val="none"/>
        </w:rPr>
        <w:t>供应商</w:t>
      </w:r>
      <w:r>
        <w:rPr>
          <w:rFonts w:hint="eastAsia"/>
          <w:color w:val="auto"/>
          <w:kern w:val="2"/>
          <w:sz w:val="24"/>
          <w:highlight w:val="none"/>
        </w:rPr>
        <w:t>假借以他人名义参加竞价或者弄虚作假，骗取成交；</w:t>
      </w:r>
    </w:p>
    <w:p>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pPr>
        <w:spacing w:line="360" w:lineRule="auto"/>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pPr>
        <w:pStyle w:val="29"/>
        <w:spacing w:line="360" w:lineRule="auto"/>
        <w:jc w:val="both"/>
        <w:outlineLvl w:val="1"/>
        <w:rPr>
          <w:rFonts w:hint="default" w:ascii="宋体" w:hAnsi="宋体" w:cs="宋体"/>
          <w:b/>
          <w:color w:val="auto"/>
          <w:sz w:val="24"/>
          <w:szCs w:val="24"/>
          <w:highlight w:val="none"/>
        </w:rPr>
      </w:pPr>
      <w:bookmarkStart w:id="1" w:name="_Toc330567034"/>
      <w:bookmarkStart w:id="2" w:name="_Toc347060296"/>
      <w:bookmarkStart w:id="3" w:name="_Toc327948617"/>
      <w:bookmarkStart w:id="4" w:name="_Toc346300367"/>
      <w:r>
        <w:rPr>
          <w:rFonts w:ascii="宋体" w:hAnsi="宋体" w:cs="宋体"/>
          <w:b/>
          <w:color w:val="auto"/>
          <w:kern w:val="0"/>
          <w:sz w:val="24"/>
          <w:szCs w:val="24"/>
          <w:highlight w:val="none"/>
        </w:rPr>
        <w:t>一、项目概况：</w:t>
      </w:r>
    </w:p>
    <w:p>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一</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zh-CN"/>
        </w:rPr>
        <w:t>本次项目为福建省闽西监狱桶装水、瓶装水配送服务采购项目。</w:t>
      </w:r>
    </w:p>
    <w:p>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二</w:t>
      </w:r>
      <w:r>
        <w:rPr>
          <w:rFonts w:hint="eastAsia" w:asciiTheme="minorEastAsia" w:hAnsiTheme="minorEastAsia" w:eastAsiaTheme="minorEastAsia" w:cstheme="minorEastAsia"/>
          <w:bCs/>
          <w:color w:val="auto"/>
          <w:sz w:val="24"/>
          <w:szCs w:val="24"/>
          <w:highlight w:val="none"/>
          <w:lang w:eastAsia="zh-CN"/>
        </w:rPr>
        <w:t>）采购</w:t>
      </w:r>
      <w:r>
        <w:rPr>
          <w:rFonts w:hint="eastAsia" w:asciiTheme="minorEastAsia" w:hAnsiTheme="minorEastAsia" w:eastAsiaTheme="minorEastAsia" w:cstheme="minorEastAsia"/>
          <w:bCs/>
          <w:color w:val="auto"/>
          <w:sz w:val="24"/>
          <w:szCs w:val="24"/>
          <w:highlight w:val="none"/>
          <w:lang w:val="en-US" w:eastAsia="zh-CN"/>
        </w:rPr>
        <w:t>标的一览表</w:t>
      </w:r>
    </w:p>
    <w:p>
      <w:pPr>
        <w:pStyle w:val="25"/>
        <w:numPr>
          <w:ilvl w:val="0"/>
          <w:numId w:val="0"/>
        </w:numPr>
        <w:tabs>
          <w:tab w:val="left" w:pos="2425"/>
        </w:tabs>
        <w:spacing w:line="400" w:lineRule="exact"/>
        <w:jc w:val="right"/>
        <w:outlineLvl w:val="1"/>
        <w:rPr>
          <w:rFonts w:hint="eastAsia" w:hAnsi="宋体" w:cs="宋体"/>
          <w:color w:val="auto"/>
          <w:sz w:val="24"/>
          <w:highlight w:val="none"/>
        </w:rPr>
      </w:pPr>
      <w:r>
        <w:rPr>
          <w:rFonts w:hint="eastAsia" w:ascii="宋体" w:hAnsi="宋体"/>
          <w:color w:val="auto"/>
          <w:sz w:val="24"/>
          <w:szCs w:val="24"/>
          <w:highlight w:val="none"/>
        </w:rPr>
        <w:t>金额单位：人民币/元</w:t>
      </w:r>
    </w:p>
    <w:tbl>
      <w:tblPr>
        <w:tblStyle w:val="20"/>
        <w:tblW w:w="10236" w:type="dxa"/>
        <w:tblInd w:w="0" w:type="dxa"/>
        <w:tblLayout w:type="fixed"/>
        <w:tblCellMar>
          <w:top w:w="0" w:type="dxa"/>
          <w:left w:w="108" w:type="dxa"/>
          <w:bottom w:w="0" w:type="dxa"/>
          <w:right w:w="108" w:type="dxa"/>
        </w:tblCellMar>
      </w:tblPr>
      <w:tblGrid>
        <w:gridCol w:w="925"/>
        <w:gridCol w:w="1963"/>
        <w:gridCol w:w="3054"/>
        <w:gridCol w:w="775"/>
        <w:gridCol w:w="822"/>
        <w:gridCol w:w="1254"/>
        <w:gridCol w:w="1443"/>
      </w:tblGrid>
      <w:tr>
        <w:tblPrEx>
          <w:tblCellMar>
            <w:top w:w="0" w:type="dxa"/>
            <w:left w:w="108" w:type="dxa"/>
            <w:bottom w:w="0" w:type="dxa"/>
            <w:right w:w="108" w:type="dxa"/>
          </w:tblCellMar>
        </w:tblPrEx>
        <w:trPr>
          <w:trHeight w:val="571" w:hRule="atLeast"/>
        </w:trPr>
        <w:tc>
          <w:tcPr>
            <w:tcW w:w="925"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合同包号</w:t>
            </w:r>
          </w:p>
        </w:tc>
        <w:tc>
          <w:tcPr>
            <w:tcW w:w="196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305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标的名称</w:t>
            </w:r>
          </w:p>
        </w:tc>
        <w:tc>
          <w:tcPr>
            <w:tcW w:w="77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82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1254"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预算价</w:t>
            </w:r>
          </w:p>
        </w:tc>
        <w:tc>
          <w:tcPr>
            <w:tcW w:w="1443"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是否允许进口产品</w:t>
            </w:r>
          </w:p>
        </w:tc>
      </w:tr>
      <w:tr>
        <w:tblPrEx>
          <w:tblCellMar>
            <w:top w:w="0" w:type="dxa"/>
            <w:left w:w="108" w:type="dxa"/>
            <w:bottom w:w="0" w:type="dxa"/>
            <w:right w:w="108" w:type="dxa"/>
          </w:tblCellMar>
        </w:tblPrEx>
        <w:trPr>
          <w:trHeight w:val="745" w:hRule="atLeast"/>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9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C23130200食品和饮料批发服务</w:t>
            </w:r>
          </w:p>
        </w:tc>
        <w:tc>
          <w:tcPr>
            <w:tcW w:w="30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zh-CN"/>
              </w:rPr>
              <w:t>福建省闽西监狱桶装水、瓶装水配送服务采购项目</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批</w:t>
            </w:r>
          </w:p>
        </w:tc>
        <w:tc>
          <w:tcPr>
            <w:tcW w:w="8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200000</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否</w:t>
            </w:r>
          </w:p>
        </w:tc>
      </w:tr>
    </w:tbl>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zh-CN"/>
        </w:rPr>
        <w:t>预算金额：</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lang w:val="zh-CN"/>
        </w:rPr>
        <w:t>万元，合同金额即为预算金额，最终据实结算。</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zh-CN"/>
        </w:rPr>
        <w:t>合同期限：</w:t>
      </w:r>
      <w:r>
        <w:rPr>
          <w:rFonts w:hint="eastAsia" w:asciiTheme="minorEastAsia" w:hAnsiTheme="minorEastAsia" w:eastAsiaTheme="minorEastAsia" w:cstheme="minorEastAsia"/>
          <w:bCs/>
          <w:color w:val="auto"/>
          <w:sz w:val="24"/>
          <w:szCs w:val="24"/>
          <w:highlight w:val="none"/>
          <w:lang w:val="en-US" w:eastAsia="zh-CN"/>
        </w:rPr>
        <w:t>一</w:t>
      </w:r>
      <w:r>
        <w:rPr>
          <w:rFonts w:hint="eastAsia" w:asciiTheme="minorEastAsia" w:hAnsiTheme="minorEastAsia" w:eastAsiaTheme="minorEastAsia" w:cstheme="minorEastAsia"/>
          <w:bCs/>
          <w:color w:val="auto"/>
          <w:sz w:val="24"/>
          <w:szCs w:val="24"/>
          <w:highlight w:val="none"/>
          <w:lang w:val="zh-CN"/>
        </w:rPr>
        <w:t>年，但合同期内如果实际采购金额达到预算金额</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lang w:val="zh-CN"/>
        </w:rPr>
        <w:t>万元时，合同自动终止，采购人不予以供应商任何赔偿或补偿。</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（五）本项目合同包成交候选人数量：1名。</w:t>
      </w:r>
    </w:p>
    <w:p>
      <w:pPr>
        <w:pStyle w:val="2"/>
        <w:keepNext w:val="0"/>
        <w:keepLines w:val="0"/>
        <w:pageBreakBefore w:val="0"/>
        <w:kinsoku/>
        <w:wordWrap/>
        <w:overflowPunct/>
        <w:topLinePunct w:val="0"/>
        <w:autoSpaceDE/>
        <w:autoSpaceDN/>
        <w:bidi w:val="0"/>
        <w:adjustRightInd/>
        <w:snapToGrid/>
        <w:spacing w:after="0"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（六）报价要求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1、</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本项目</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按统一下浮率</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报价。供应商须对所投</w:t>
      </w:r>
      <w:r>
        <w:rPr>
          <w:rFonts w:hint="eastAsia" w:asciiTheme="minorEastAsia" w:hAnsiTheme="minorEastAsia" w:eastAsiaTheme="minorEastAsia" w:cstheme="minorEastAsia"/>
          <w:b w:val="0"/>
          <w:bCs w:val="0"/>
          <w:color w:val="auto"/>
          <w:sz w:val="24"/>
          <w:szCs w:val="24"/>
          <w:highlight w:val="none"/>
          <w:shd w:val="clear" w:color="auto" w:fill="FFFFFF"/>
        </w:rPr>
        <w:t>合同包</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内</w:t>
      </w:r>
      <w:r>
        <w:rPr>
          <w:rFonts w:hint="eastAsia" w:asciiTheme="minorEastAsia" w:hAnsiTheme="minorEastAsia" w:eastAsiaTheme="minorEastAsia" w:cstheme="minorEastAsia"/>
          <w:b w:val="0"/>
          <w:bCs w:val="0"/>
          <w:color w:val="auto"/>
          <w:sz w:val="24"/>
          <w:szCs w:val="24"/>
          <w:highlight w:val="none"/>
          <w:shd w:val="clear" w:color="auto" w:fill="FFFFFF"/>
        </w:rPr>
        <w:t>的所有产品进行统一的</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下浮率进行</w:t>
      </w:r>
      <w:r>
        <w:rPr>
          <w:rFonts w:hint="eastAsia" w:asciiTheme="minorEastAsia" w:hAnsiTheme="minorEastAsia" w:eastAsiaTheme="minorEastAsia" w:cstheme="minorEastAsia"/>
          <w:b w:val="0"/>
          <w:bCs w:val="0"/>
          <w:color w:val="auto"/>
          <w:sz w:val="24"/>
          <w:szCs w:val="24"/>
          <w:highlight w:val="none"/>
          <w:shd w:val="clear" w:color="auto" w:fill="FFFFFF"/>
        </w:rPr>
        <w:t>报价</w:t>
      </w:r>
      <w:r>
        <w:rPr>
          <w:rStyle w:val="23"/>
          <w:rFonts w:hint="eastAsia" w:asciiTheme="minorEastAsia" w:hAnsiTheme="minorEastAsia" w:eastAsiaTheme="minorEastAsia" w:cstheme="minorEastAsia"/>
          <w:b w:val="0"/>
          <w:bCs w:val="0"/>
          <w:color w:val="auto"/>
          <w:sz w:val="24"/>
          <w:szCs w:val="24"/>
          <w:highlight w:val="none"/>
          <w:shd w:val="clear" w:color="auto" w:fill="FFFFFF"/>
        </w:rPr>
        <w:t>（即</w:t>
      </w:r>
      <w:r>
        <w:rPr>
          <w:rStyle w:val="23"/>
          <w:rFonts w:hint="eastAsia" w:asciiTheme="minorEastAsia" w:hAnsiTheme="minorEastAsia" w:eastAsiaTheme="minorEastAsia" w:cstheme="minorEastAsia"/>
          <w:b w:val="0"/>
          <w:bCs w:val="0"/>
          <w:color w:val="auto"/>
          <w:sz w:val="24"/>
          <w:szCs w:val="24"/>
          <w:highlight w:val="none"/>
          <w:shd w:val="clear" w:color="auto" w:fill="FFFFFF"/>
          <w:lang w:eastAsia="zh-CN"/>
        </w:rPr>
        <w:t>供应商</w:t>
      </w:r>
      <w:r>
        <w:rPr>
          <w:rStyle w:val="23"/>
          <w:rFonts w:hint="eastAsia" w:asciiTheme="minorEastAsia" w:hAnsiTheme="minorEastAsia" w:eastAsiaTheme="minorEastAsia" w:cstheme="minorEastAsia"/>
          <w:b w:val="0"/>
          <w:bCs w:val="0"/>
          <w:color w:val="auto"/>
          <w:sz w:val="24"/>
          <w:szCs w:val="24"/>
          <w:highlight w:val="none"/>
          <w:shd w:val="clear" w:color="auto" w:fill="FFFFFF"/>
        </w:rPr>
        <w:t>所投所有产品只能有</w:t>
      </w:r>
      <w:r>
        <w:rPr>
          <w:rStyle w:val="23"/>
          <w:rFonts w:hint="eastAsia" w:asciiTheme="minorEastAsia" w:hAnsiTheme="minorEastAsia" w:eastAsiaTheme="minorEastAsia" w:cstheme="minorEastAsia"/>
          <w:b w:val="0"/>
          <w:bCs w:val="0"/>
          <w:color w:val="auto"/>
          <w:sz w:val="24"/>
          <w:szCs w:val="24"/>
          <w:highlight w:val="none"/>
          <w:shd w:val="clear" w:color="auto" w:fill="FFFFFF"/>
          <w:lang w:eastAsia="zh-CN"/>
        </w:rPr>
        <w:t>唯一</w:t>
      </w:r>
      <w:r>
        <w:rPr>
          <w:rStyle w:val="23"/>
          <w:rFonts w:hint="eastAsia" w:asciiTheme="minorEastAsia" w:hAnsiTheme="minorEastAsia" w:eastAsiaTheme="minorEastAsia" w:cstheme="minorEastAsia"/>
          <w:b w:val="0"/>
          <w:bCs w:val="0"/>
          <w:color w:val="auto"/>
          <w:sz w:val="24"/>
          <w:szCs w:val="24"/>
          <w:highlight w:val="none"/>
          <w:shd w:val="clear" w:color="auto" w:fill="FFFFFF"/>
        </w:rPr>
        <w:t>一个</w:t>
      </w:r>
      <w:r>
        <w:rPr>
          <w:rStyle w:val="23"/>
          <w:rFonts w:hint="eastAsia" w:asciiTheme="minorEastAsia" w:hAnsiTheme="minorEastAsia" w:eastAsiaTheme="minorEastAsia" w:cstheme="minorEastAsia"/>
          <w:b w:val="0"/>
          <w:bCs w:val="0"/>
          <w:color w:val="auto"/>
          <w:sz w:val="24"/>
          <w:szCs w:val="24"/>
          <w:highlight w:val="none"/>
          <w:shd w:val="clear" w:color="auto" w:fill="FFFFFF"/>
          <w:lang w:val="en-US" w:eastAsia="zh-CN"/>
        </w:rPr>
        <w:t>下浮率</w:t>
      </w:r>
      <w:r>
        <w:rPr>
          <w:rStyle w:val="23"/>
          <w:rFonts w:hint="eastAsia" w:asciiTheme="minorEastAsia" w:hAnsiTheme="minorEastAsia" w:eastAsiaTheme="minorEastAsia" w:cstheme="minorEastAsia"/>
          <w:b w:val="0"/>
          <w:bCs w:val="0"/>
          <w:color w:val="auto"/>
          <w:sz w:val="24"/>
          <w:szCs w:val="24"/>
          <w:highlight w:val="none"/>
          <w:shd w:val="clear" w:color="auto" w:fill="FFFFFF"/>
        </w:rPr>
        <w:t>报价）</w:t>
      </w:r>
      <w:r>
        <w:rPr>
          <w:rFonts w:hint="eastAsia" w:asciiTheme="minorEastAsia" w:hAnsiTheme="minorEastAsia" w:eastAsiaTheme="minorEastAsia" w:cstheme="minorEastAsia"/>
          <w:b w:val="0"/>
          <w:bCs w:val="0"/>
          <w:color w:val="auto"/>
          <w:sz w:val="24"/>
          <w:szCs w:val="24"/>
          <w:highlight w:val="none"/>
          <w:shd w:val="clear" w:color="auto" w:fill="FFFFFF"/>
        </w:rPr>
        <w:t>，各</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供应商</w:t>
      </w:r>
      <w:r>
        <w:rPr>
          <w:rFonts w:hint="eastAsia" w:asciiTheme="minorEastAsia" w:hAnsiTheme="minorEastAsia" w:eastAsiaTheme="minorEastAsia" w:cstheme="minorEastAsia"/>
          <w:b w:val="0"/>
          <w:bCs w:val="0"/>
          <w:color w:val="auto"/>
          <w:sz w:val="24"/>
          <w:szCs w:val="24"/>
          <w:highlight w:val="none"/>
          <w:shd w:val="clear" w:color="auto" w:fill="FFFFFF"/>
        </w:rPr>
        <w:t>在</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网上竞价平台</w:t>
      </w:r>
      <w:r>
        <w:rPr>
          <w:rFonts w:hint="eastAsia" w:asciiTheme="minorEastAsia" w:hAnsiTheme="minorEastAsia" w:eastAsiaTheme="minorEastAsia" w:cstheme="minorEastAsia"/>
          <w:b w:val="0"/>
          <w:bCs w:val="0"/>
          <w:color w:val="auto"/>
          <w:sz w:val="24"/>
          <w:szCs w:val="24"/>
          <w:highlight w:val="none"/>
          <w:shd w:val="clear" w:color="auto" w:fill="FFFFFF"/>
        </w:rPr>
        <w:t>上填写的</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合同包</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报价</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总价</w:t>
      </w:r>
      <w:r>
        <w:rPr>
          <w:rFonts w:hint="eastAsia" w:asciiTheme="minorEastAsia" w:hAnsiTheme="minorEastAsia" w:eastAsiaTheme="minorEastAsia" w:cstheme="minorEastAsia"/>
          <w:b w:val="0"/>
          <w:bCs w:val="0"/>
          <w:color w:val="auto"/>
          <w:sz w:val="24"/>
          <w:szCs w:val="24"/>
          <w:highlight w:val="none"/>
          <w:shd w:val="clear" w:color="auto" w:fill="FFFFFF"/>
        </w:rPr>
        <w:t>=</w:t>
      </w:r>
      <w:r>
        <w:rPr>
          <w:rFonts w:hint="eastAsia" w:asciiTheme="minorEastAsia" w:hAnsiTheme="minorEastAsia" w:eastAsiaTheme="minorEastAsia" w:cstheme="minorEastAsia"/>
          <w:bCs/>
          <w:color w:val="auto"/>
          <w:kern w:val="2"/>
          <w:sz w:val="24"/>
          <w:szCs w:val="24"/>
          <w:highlight w:val="none"/>
          <w:lang w:val="en-US" w:eastAsia="zh-CN" w:bidi="ar-SA"/>
        </w:rPr>
        <w:t>预算价</w:t>
      </w:r>
      <w:r>
        <w:rPr>
          <w:rFonts w:hint="eastAsia" w:asciiTheme="minorEastAsia" w:hAnsiTheme="minorEastAsia" w:eastAsiaTheme="minorEastAsia" w:cstheme="minorEastAsia"/>
          <w:b w:val="0"/>
          <w:bCs w:val="0"/>
          <w:color w:val="auto"/>
          <w:sz w:val="24"/>
          <w:szCs w:val="24"/>
          <w:highlight w:val="none"/>
          <w:shd w:val="clear" w:color="auto" w:fill="FFFFFF"/>
        </w:rPr>
        <w:t>×</w:t>
      </w:r>
      <w:r>
        <w:rPr>
          <w:rFonts w:hint="eastAsia" w:asciiTheme="minorEastAsia" w:hAnsiTheme="minorEastAsia" w:eastAsiaTheme="minorEastAsia" w:cstheme="minorEastAsia"/>
          <w:bCs/>
          <w:color w:val="auto"/>
          <w:kern w:val="2"/>
          <w:sz w:val="24"/>
          <w:szCs w:val="24"/>
          <w:highlight w:val="none"/>
          <w:lang w:val="en-US" w:eastAsia="zh-CN" w:bidi="ar-SA"/>
        </w:rPr>
        <w:t>（1-成交下浮率）</w:t>
      </w:r>
      <w:r>
        <w:rPr>
          <w:rFonts w:hint="eastAsia" w:asciiTheme="minorEastAsia" w:hAnsiTheme="minorEastAsia" w:eastAsiaTheme="minorEastAsia" w:cstheme="minorEastAsia"/>
          <w:b w:val="0"/>
          <w:bCs w:val="0"/>
          <w:color w:val="auto"/>
          <w:sz w:val="24"/>
          <w:szCs w:val="24"/>
          <w:highlight w:val="none"/>
          <w:shd w:val="clear" w:color="auto" w:fill="FFFFFF"/>
        </w:rPr>
        <w:t>。举例说明：</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供应商</w:t>
      </w:r>
      <w:r>
        <w:rPr>
          <w:rFonts w:hint="eastAsia" w:asciiTheme="minorEastAsia" w:hAnsiTheme="minorEastAsia" w:eastAsiaTheme="minorEastAsia" w:cstheme="minorEastAsia"/>
          <w:b w:val="0"/>
          <w:bCs w:val="0"/>
          <w:color w:val="auto"/>
          <w:sz w:val="24"/>
          <w:szCs w:val="24"/>
          <w:highlight w:val="none"/>
          <w:shd w:val="clear" w:color="auto" w:fill="FFFFFF"/>
        </w:rPr>
        <w:t>所报</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下浮率</w:t>
      </w:r>
      <w:r>
        <w:rPr>
          <w:rFonts w:hint="eastAsia" w:asciiTheme="minorEastAsia" w:hAnsiTheme="minorEastAsia" w:eastAsiaTheme="minorEastAsia" w:cstheme="minorEastAsia"/>
          <w:b w:val="0"/>
          <w:bCs w:val="0"/>
          <w:color w:val="auto"/>
          <w:sz w:val="24"/>
          <w:szCs w:val="24"/>
          <w:highlight w:val="none"/>
          <w:shd w:val="clear" w:color="auto" w:fill="FFFFFF"/>
        </w:rPr>
        <w:t>为</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10%</w:t>
      </w:r>
      <w:r>
        <w:rPr>
          <w:rFonts w:hint="eastAsia" w:asciiTheme="minorEastAsia" w:hAnsiTheme="minorEastAsia" w:eastAsiaTheme="minorEastAsia" w:cstheme="minorEastAsia"/>
          <w:b w:val="0"/>
          <w:bCs w:val="0"/>
          <w:color w:val="auto"/>
          <w:sz w:val="24"/>
          <w:szCs w:val="24"/>
          <w:highlight w:val="none"/>
          <w:shd w:val="clear" w:color="auto" w:fill="FFFFFF"/>
        </w:rPr>
        <w:t>，则</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网上竞价平台</w:t>
      </w:r>
      <w:r>
        <w:rPr>
          <w:rFonts w:hint="eastAsia" w:asciiTheme="minorEastAsia" w:hAnsiTheme="minorEastAsia" w:eastAsiaTheme="minorEastAsia" w:cstheme="minorEastAsia"/>
          <w:b w:val="0"/>
          <w:bCs w:val="0"/>
          <w:color w:val="auto"/>
          <w:sz w:val="24"/>
          <w:szCs w:val="24"/>
          <w:highlight w:val="none"/>
          <w:shd w:val="clear" w:color="auto" w:fill="FFFFFF"/>
        </w:rPr>
        <w:t>上填写的</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报价</w:t>
      </w:r>
      <w:r>
        <w:rPr>
          <w:rFonts w:hint="eastAsia" w:asciiTheme="minorEastAsia" w:hAnsiTheme="minorEastAsia" w:eastAsiaTheme="minorEastAsia" w:cstheme="minorEastAsia"/>
          <w:b w:val="0"/>
          <w:bCs w:val="0"/>
          <w:color w:val="auto"/>
          <w:sz w:val="24"/>
          <w:szCs w:val="24"/>
          <w:highlight w:val="none"/>
          <w:shd w:val="clear" w:color="auto" w:fill="FFFFFF"/>
        </w:rPr>
        <w:t>总价为</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200000×（1-10%）=180000</w:t>
      </w:r>
      <w:r>
        <w:rPr>
          <w:rFonts w:hint="eastAsia" w:asciiTheme="minorEastAsia" w:hAnsiTheme="minorEastAsia" w:eastAsiaTheme="minorEastAsia" w:cstheme="minorEastAsia"/>
          <w:b w:val="0"/>
          <w:bCs w:val="0"/>
          <w:color w:val="auto"/>
          <w:sz w:val="24"/>
          <w:szCs w:val="24"/>
          <w:highlight w:val="none"/>
          <w:shd w:val="clear" w:color="auto" w:fill="FFFFFF"/>
        </w:rPr>
        <w:t>元。</w:t>
      </w:r>
      <w:r>
        <w:rPr>
          <w:rFonts w:hint="eastAsia" w:asciiTheme="minorEastAsia" w:hAnsiTheme="minorEastAsia" w:eastAsiaTheme="minorEastAsia" w:cstheme="minorEastAsia"/>
          <w:b w:val="0"/>
          <w:bCs w:val="0"/>
          <w:color w:val="auto"/>
          <w:sz w:val="24"/>
          <w:szCs w:val="24"/>
          <w:highlight w:val="none"/>
          <w:lang w:eastAsia="zh-CN"/>
        </w:rPr>
        <w:t>竞价结束后，将</w:t>
      </w:r>
      <w:r>
        <w:rPr>
          <w:rFonts w:hint="eastAsia" w:asciiTheme="minorEastAsia" w:hAnsiTheme="minorEastAsia" w:eastAsiaTheme="minorEastAsia" w:cstheme="minorEastAsia"/>
          <w:b w:val="0"/>
          <w:bCs w:val="0"/>
          <w:color w:val="auto"/>
          <w:sz w:val="24"/>
          <w:szCs w:val="24"/>
          <w:highlight w:val="none"/>
        </w:rPr>
        <w:t>按照</w:t>
      </w:r>
      <w:r>
        <w:rPr>
          <w:rFonts w:hint="eastAsia" w:asciiTheme="minorEastAsia" w:hAnsiTheme="minorEastAsia" w:eastAsiaTheme="minorEastAsia" w:cstheme="minorEastAsia"/>
          <w:b w:val="0"/>
          <w:bCs w:val="0"/>
          <w:color w:val="auto"/>
          <w:sz w:val="24"/>
          <w:szCs w:val="24"/>
          <w:highlight w:val="none"/>
          <w:lang w:eastAsia="zh-CN"/>
        </w:rPr>
        <w:t>其所报的合同包报价总价</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200000</w:t>
      </w:r>
      <w:r>
        <w:rPr>
          <w:rFonts w:hint="eastAsia" w:asciiTheme="minorEastAsia" w:hAnsiTheme="minorEastAsia" w:eastAsiaTheme="minorEastAsia" w:cstheme="minorEastAsia"/>
          <w:b w:val="0"/>
          <w:bCs w:val="0"/>
          <w:color w:val="auto"/>
          <w:sz w:val="24"/>
          <w:szCs w:val="24"/>
          <w:highlight w:val="none"/>
        </w:rPr>
        <w:t>计算</w:t>
      </w:r>
      <w:r>
        <w:rPr>
          <w:rFonts w:hint="eastAsia" w:asciiTheme="minorEastAsia" w:hAnsiTheme="minorEastAsia" w:eastAsiaTheme="minorEastAsia" w:cstheme="minorEastAsia"/>
          <w:b w:val="0"/>
          <w:bCs w:val="0"/>
          <w:color w:val="auto"/>
          <w:sz w:val="24"/>
          <w:szCs w:val="24"/>
          <w:highlight w:val="none"/>
          <w:lang w:val="en-US" w:eastAsia="zh-CN"/>
        </w:rPr>
        <w:t>成交下浮率</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成交下浮率</w:t>
      </w:r>
      <w:r>
        <w:rPr>
          <w:rFonts w:hint="eastAsia" w:asciiTheme="minorEastAsia" w:hAnsiTheme="minorEastAsia" w:eastAsiaTheme="minorEastAsia" w:cstheme="minorEastAsia"/>
          <w:b w:val="0"/>
          <w:bCs w:val="0"/>
          <w:color w:val="auto"/>
          <w:sz w:val="24"/>
          <w:szCs w:val="24"/>
          <w:highlight w:val="none"/>
          <w:lang w:eastAsia="zh-CN"/>
        </w:rPr>
        <w:t>计算时保留小数点后两位，小数点后第三位四舍五入），并以此作为结算依据。</w:t>
      </w:r>
      <w:r>
        <w:rPr>
          <w:rFonts w:hint="eastAsia" w:asciiTheme="minorEastAsia" w:hAnsiTheme="minorEastAsia" w:eastAsiaTheme="minorEastAsia" w:cstheme="minorEastAsia"/>
          <w:b w:val="0"/>
          <w:bCs w:val="0"/>
          <w:color w:val="auto"/>
          <w:sz w:val="24"/>
          <w:szCs w:val="24"/>
          <w:highlight w:val="none"/>
          <w:lang w:val="en-US" w:eastAsia="zh-CN"/>
        </w:rPr>
        <w:t>供应商在网上竞价平台中所报的合同包报价总价不等同于签订合同的金额，签订合同时以成交下浮率为准，实际合同金额为预算金额。</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w:t>
      </w:r>
      <w:r>
        <w:rPr>
          <w:rFonts w:hint="eastAsia" w:asciiTheme="minorEastAsia" w:hAnsiTheme="minorEastAsia" w:eastAsiaTheme="minorEastAsia" w:cstheme="minorEastAsia"/>
          <w:b w:val="0"/>
          <w:bCs/>
          <w:color w:val="auto"/>
          <w:sz w:val="24"/>
          <w:szCs w:val="24"/>
          <w:highlight w:val="none"/>
          <w:lang w:eastAsia="zh-CN"/>
        </w:rPr>
        <w:t>供应商须在竞价响应文件中清晰、完整填报所投产品品牌</w:t>
      </w:r>
      <w:r>
        <w:rPr>
          <w:rFonts w:hint="eastAsia" w:asciiTheme="minorEastAsia" w:hAnsiTheme="minorEastAsia" w:eastAsiaTheme="minorEastAsia" w:cstheme="minorEastAsia"/>
          <w:b w:val="0"/>
          <w:bCs/>
          <w:color w:val="auto"/>
          <w:sz w:val="24"/>
          <w:szCs w:val="24"/>
          <w:highlight w:val="none"/>
          <w:lang w:val="en-US" w:eastAsia="zh-CN"/>
        </w:rPr>
        <w:t>或</w:t>
      </w:r>
      <w:r>
        <w:rPr>
          <w:rFonts w:hint="eastAsia" w:asciiTheme="minorEastAsia" w:hAnsiTheme="minorEastAsia" w:eastAsiaTheme="minorEastAsia" w:cstheme="minorEastAsia"/>
          <w:b w:val="0"/>
          <w:bCs/>
          <w:color w:val="auto"/>
          <w:sz w:val="24"/>
          <w:szCs w:val="24"/>
          <w:highlight w:val="none"/>
          <w:lang w:eastAsia="zh-CN"/>
        </w:rPr>
        <w:t>注册商标、型号、桶（</w:t>
      </w:r>
      <w:r>
        <w:rPr>
          <w:rFonts w:hint="eastAsia" w:asciiTheme="minorEastAsia" w:hAnsiTheme="minorEastAsia" w:eastAsiaTheme="minorEastAsia" w:cstheme="minorEastAsia"/>
          <w:b w:val="0"/>
          <w:bCs/>
          <w:color w:val="auto"/>
          <w:sz w:val="24"/>
          <w:szCs w:val="24"/>
          <w:highlight w:val="none"/>
          <w:lang w:val="en-US" w:eastAsia="zh-CN"/>
        </w:rPr>
        <w:t>瓶</w:t>
      </w:r>
      <w:r>
        <w:rPr>
          <w:rFonts w:hint="eastAsia" w:asciiTheme="minorEastAsia" w:hAnsiTheme="minorEastAsia" w:eastAsiaTheme="minorEastAsia" w:cstheme="minorEastAsia"/>
          <w:b w:val="0"/>
          <w:bCs/>
          <w:color w:val="auto"/>
          <w:sz w:val="24"/>
          <w:szCs w:val="24"/>
          <w:highlight w:val="none"/>
          <w:lang w:eastAsia="zh-CN"/>
        </w:rPr>
        <w:t>）装规格等信息，填报内容须与实际供货产品保持一致。</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Style w:val="26"/>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供应商提供的报价应是</w:t>
      </w:r>
      <w:r>
        <w:rPr>
          <w:rFonts w:hint="eastAsia" w:asciiTheme="minorEastAsia" w:hAnsiTheme="minorEastAsia" w:eastAsiaTheme="minorEastAsia" w:cstheme="minorEastAsia"/>
          <w:color w:val="auto"/>
          <w:sz w:val="24"/>
          <w:szCs w:val="24"/>
          <w:highlight w:val="none"/>
          <w:lang w:val="zh-CN"/>
        </w:rPr>
        <w:t>供应商为完成本项目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val="zh-CN"/>
        </w:rPr>
        <w:t>范围内所有内容的所有费用即为配送到采购人指定地点的包干价格，价格包含但不限于货款、检测费、人工费、包装费、运输费、搬运费、保险、税费</w:t>
      </w:r>
      <w:r>
        <w:rPr>
          <w:rFonts w:hint="eastAsia" w:asciiTheme="minorEastAsia" w:hAnsiTheme="minorEastAsia" w:eastAsiaTheme="minorEastAsia" w:cstheme="minorEastAsia"/>
          <w:bCs/>
          <w:color w:val="auto"/>
          <w:kern w:val="2"/>
          <w:sz w:val="24"/>
          <w:szCs w:val="24"/>
          <w:highlight w:val="none"/>
          <w:lang w:val="en-US" w:eastAsia="zh-CN" w:bidi="ar-SA"/>
        </w:rPr>
        <w:t>及合同明示或暗示的风险责任和义务等一切与本项目相关的所有费用</w:t>
      </w:r>
      <w:r>
        <w:rPr>
          <w:rFonts w:hint="eastAsia" w:asciiTheme="minorEastAsia" w:hAnsiTheme="minorEastAsia" w:eastAsiaTheme="minorEastAsia" w:cstheme="minorEastAsia"/>
          <w:color w:val="auto"/>
          <w:sz w:val="24"/>
          <w:szCs w:val="24"/>
          <w:highlight w:val="none"/>
          <w:lang w:val="zh-CN"/>
        </w:rPr>
        <w:t>。采购人除按结算方式的标准支付费用外，将不承担其他任何费用。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、竞价过程中，</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每次报价必须比自己上次的报价低。</w:t>
      </w:r>
    </w:p>
    <w:p>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、符合以上相关要求的报价，可以在规定的报价时限内不限次数报价，直到竞价截止时间为止。</w:t>
      </w:r>
    </w:p>
    <w:p>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已详细审查全部竞价公告，包括修改竞价公告(如有的话)和有关附件，将自行承担因对全部竞价公告理解不正确或误解而产生的相应后果。</w:t>
      </w:r>
    </w:p>
    <w:p>
      <w:pPr>
        <w:pStyle w:val="2"/>
        <w:keepNext w:val="0"/>
        <w:keepLines w:val="0"/>
        <w:pageBreakBefore w:val="0"/>
        <w:widowControl/>
        <w:kinsoku/>
        <w:wordWrap/>
        <w:overflowPunct/>
        <w:topLinePunct w:val="0"/>
        <w:autoSpaceDE/>
        <w:autoSpaceDN/>
        <w:bidi w:val="0"/>
        <w:adjustRightInd/>
        <w:spacing w:after="0" w:line="360" w:lineRule="auto"/>
        <w:ind w:left="0" w:leftChars="0" w:firstLine="480" w:firstLineChars="200"/>
        <w:jc w:val="both"/>
        <w:textAlignment w:val="auto"/>
        <w:outlineLvl w:val="9"/>
        <w:rPr>
          <w:rFonts w:hint="eastAsia" w:hAnsi="宋体"/>
          <w:b/>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、合同期内不调价。</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不得擅自增加、变更、提高结算项目及结算标准。</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应充分考虑因合同期间的总价费用风险并承担带来的经营风险。</w:t>
      </w:r>
    </w:p>
    <w:p>
      <w:pPr>
        <w:pStyle w:val="2"/>
        <w:keepNext w:val="0"/>
        <w:keepLines w:val="0"/>
        <w:pageBreakBefore w:val="0"/>
        <w:widowControl/>
        <w:kinsoku/>
        <w:wordWrap/>
        <w:topLinePunct w:val="0"/>
        <w:bidi w:val="0"/>
        <w:spacing w:after="0" w:line="360" w:lineRule="auto"/>
        <w:ind w:left="0" w:leftChars="0" w:firstLine="0" w:firstLineChars="0"/>
        <w:jc w:val="both"/>
        <w:rPr>
          <w:rFonts w:hint="eastAsia" w:hAnsi="宋体"/>
          <w:b/>
          <w:color w:val="auto"/>
          <w:sz w:val="24"/>
          <w:szCs w:val="24"/>
          <w:highlight w:val="none"/>
        </w:rPr>
      </w:pPr>
      <w:r>
        <w:rPr>
          <w:rFonts w:hint="eastAsia" w:hAnsi="宋体"/>
          <w:b/>
          <w:color w:val="auto"/>
          <w:sz w:val="24"/>
          <w:szCs w:val="24"/>
          <w:highlight w:val="none"/>
        </w:rPr>
        <w:t>二、技术和</w:t>
      </w:r>
      <w:r>
        <w:rPr>
          <w:rFonts w:hint="eastAsia" w:hAnsi="宋体"/>
          <w:b/>
          <w:color w:val="auto"/>
          <w:sz w:val="24"/>
          <w:szCs w:val="24"/>
          <w:highlight w:val="none"/>
          <w:lang w:val="en-US" w:eastAsia="zh-CN"/>
        </w:rPr>
        <w:t>服务</w:t>
      </w:r>
      <w:r>
        <w:rPr>
          <w:rFonts w:hint="eastAsia" w:hAnsi="宋体"/>
          <w:b/>
          <w:color w:val="auto"/>
          <w:sz w:val="24"/>
          <w:szCs w:val="24"/>
          <w:highlight w:val="none"/>
        </w:rPr>
        <w:t>要求</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一</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采购人推荐“梅花山”、“标致”、“荣华山”等3个品牌(或注册商标,简称品牌）的饮用水作为采购需求，并根据相关品牌饮用水设置技术参数要求，供应商可结合自身供货能力，自主选择其中一个品牌参与网上竞价，具体要求如下：</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eastAsia="zh-CN"/>
        </w:rPr>
        <w:t>供应商仅允许选取</w:t>
      </w:r>
      <w:r>
        <w:rPr>
          <w:rFonts w:hint="eastAsia" w:asciiTheme="minorEastAsia" w:hAnsiTheme="minorEastAsia" w:eastAsiaTheme="minorEastAsia" w:cstheme="minorEastAsia"/>
          <w:b w:val="0"/>
          <w:bCs/>
          <w:color w:val="auto"/>
          <w:sz w:val="24"/>
          <w:szCs w:val="24"/>
          <w:highlight w:val="none"/>
          <w:lang w:val="en-US" w:eastAsia="zh-CN"/>
        </w:rPr>
        <w:t>“梅花山”、“标致”、“荣华山”</w:t>
      </w:r>
      <w:r>
        <w:rPr>
          <w:rFonts w:hint="eastAsia" w:asciiTheme="minorEastAsia" w:hAnsiTheme="minorEastAsia" w:eastAsiaTheme="minorEastAsia" w:cstheme="minorEastAsia"/>
          <w:b w:val="0"/>
          <w:bCs/>
          <w:color w:val="auto"/>
          <w:sz w:val="24"/>
          <w:szCs w:val="24"/>
          <w:highlight w:val="none"/>
          <w:lang w:eastAsia="zh-CN"/>
        </w:rPr>
        <w:t>中的单一品牌参与竞价，不允许同时</w:t>
      </w:r>
      <w:r>
        <w:rPr>
          <w:rFonts w:hint="eastAsia" w:asciiTheme="minorEastAsia" w:hAnsiTheme="minorEastAsia" w:eastAsiaTheme="minorEastAsia" w:cstheme="minorEastAsia"/>
          <w:b w:val="0"/>
          <w:bCs/>
          <w:color w:val="auto"/>
          <w:sz w:val="24"/>
          <w:szCs w:val="24"/>
          <w:highlight w:val="none"/>
          <w:lang w:val="en-US" w:eastAsia="zh-CN"/>
        </w:rPr>
        <w:t>投报</w:t>
      </w:r>
      <w:r>
        <w:rPr>
          <w:rFonts w:hint="eastAsia" w:asciiTheme="minorEastAsia" w:hAnsiTheme="minorEastAsia" w:eastAsiaTheme="minorEastAsia" w:cstheme="minorEastAsia"/>
          <w:b w:val="0"/>
          <w:bCs/>
          <w:color w:val="auto"/>
          <w:sz w:val="24"/>
          <w:szCs w:val="24"/>
          <w:highlight w:val="none"/>
          <w:lang w:eastAsia="zh-CN"/>
        </w:rPr>
        <w:t>多个品牌，本项目不接受条款列明品牌以外的其他</w:t>
      </w:r>
      <w:r>
        <w:rPr>
          <w:rFonts w:hint="eastAsia" w:asciiTheme="minorEastAsia" w:hAnsiTheme="minorEastAsia" w:eastAsiaTheme="minorEastAsia" w:cstheme="minorEastAsia"/>
          <w:b w:val="0"/>
          <w:bCs/>
          <w:color w:val="auto"/>
          <w:sz w:val="24"/>
          <w:szCs w:val="24"/>
          <w:highlight w:val="none"/>
          <w:lang w:val="en-US" w:eastAsia="zh-CN"/>
        </w:rPr>
        <w:t>品牌</w:t>
      </w:r>
      <w:r>
        <w:rPr>
          <w:rFonts w:hint="eastAsia" w:asciiTheme="minorEastAsia" w:hAnsiTheme="minorEastAsia" w:eastAsiaTheme="minorEastAsia" w:cstheme="minorEastAsia"/>
          <w:b w:val="0"/>
          <w:bCs/>
          <w:color w:val="auto"/>
          <w:sz w:val="24"/>
          <w:szCs w:val="24"/>
          <w:highlight w:val="none"/>
          <w:lang w:eastAsia="zh-CN"/>
        </w:rPr>
        <w:t>产品参与竞价；</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eastAsia="zh-CN"/>
        </w:rPr>
        <w:t>供应商竞价响应产品须同时满足本采购文件全部通用技术要求，以及所投对应品牌专属技术指标；</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eastAsia="zh-CN"/>
        </w:rPr>
        <w:t>项目成交后，成交供应商须严格按照响应文件</w:t>
      </w:r>
      <w:r>
        <w:rPr>
          <w:rFonts w:hint="eastAsia" w:asciiTheme="minorEastAsia" w:hAnsiTheme="minorEastAsia" w:eastAsiaTheme="minorEastAsia" w:cstheme="minorEastAsia"/>
          <w:b w:val="0"/>
          <w:bCs/>
          <w:color w:val="auto"/>
          <w:sz w:val="24"/>
          <w:szCs w:val="24"/>
          <w:highlight w:val="none"/>
          <w:lang w:val="en-US" w:eastAsia="zh-CN"/>
        </w:rPr>
        <w:t>所</w:t>
      </w:r>
      <w:r>
        <w:rPr>
          <w:rFonts w:hint="eastAsia" w:asciiTheme="minorEastAsia" w:hAnsiTheme="minorEastAsia" w:eastAsiaTheme="minorEastAsia" w:cstheme="minorEastAsia"/>
          <w:b w:val="0"/>
          <w:bCs/>
          <w:color w:val="auto"/>
          <w:sz w:val="24"/>
          <w:szCs w:val="24"/>
          <w:highlight w:val="none"/>
          <w:lang w:eastAsia="zh-CN"/>
        </w:rPr>
        <w:t>填报的品牌</w:t>
      </w:r>
      <w:r>
        <w:rPr>
          <w:rFonts w:hint="eastAsia" w:asciiTheme="minorEastAsia" w:hAnsiTheme="minorEastAsia" w:eastAsiaTheme="minorEastAsia" w:cstheme="minorEastAsia"/>
          <w:b w:val="0"/>
          <w:bCs/>
          <w:color w:val="auto"/>
          <w:sz w:val="24"/>
          <w:szCs w:val="24"/>
          <w:highlight w:val="none"/>
          <w:lang w:val="en-US" w:eastAsia="zh-CN"/>
        </w:rPr>
        <w:t>饮用水</w:t>
      </w:r>
      <w:r>
        <w:rPr>
          <w:rFonts w:hint="eastAsia" w:asciiTheme="minorEastAsia" w:hAnsiTheme="minorEastAsia" w:eastAsiaTheme="minorEastAsia" w:cstheme="minorEastAsia"/>
          <w:b w:val="0"/>
          <w:bCs/>
          <w:color w:val="auto"/>
          <w:sz w:val="24"/>
          <w:szCs w:val="24"/>
          <w:highlight w:val="none"/>
          <w:lang w:eastAsia="zh-CN"/>
        </w:rPr>
        <w:t>供货，不得擅自更换为其他品牌，否则采购人有权</w:t>
      </w:r>
      <w:r>
        <w:rPr>
          <w:rFonts w:hint="eastAsia" w:asciiTheme="minorEastAsia" w:hAnsiTheme="minorEastAsia" w:eastAsiaTheme="minorEastAsia" w:cstheme="minorEastAsia"/>
          <w:b w:val="0"/>
          <w:bCs/>
          <w:color w:val="auto"/>
          <w:sz w:val="24"/>
          <w:szCs w:val="24"/>
          <w:highlight w:val="none"/>
          <w:lang w:val="en-US" w:eastAsia="zh-CN"/>
        </w:rPr>
        <w:t>按相关要求</w:t>
      </w:r>
      <w:r>
        <w:rPr>
          <w:rFonts w:hint="eastAsia" w:asciiTheme="minorEastAsia" w:hAnsiTheme="minorEastAsia" w:eastAsiaTheme="minorEastAsia" w:cstheme="minorEastAsia"/>
          <w:b w:val="0"/>
          <w:bCs/>
          <w:color w:val="auto"/>
          <w:sz w:val="24"/>
          <w:szCs w:val="24"/>
          <w:highlight w:val="none"/>
          <w:lang w:eastAsia="zh-CN"/>
        </w:rPr>
        <w:t>追究相应违约责任。</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）通用技术要求（</w:t>
      </w:r>
      <w:r>
        <w:rPr>
          <w:rFonts w:hint="eastAsia" w:asciiTheme="minorEastAsia" w:hAnsiTheme="minorEastAsia" w:eastAsiaTheme="minorEastAsia" w:cstheme="minorEastAsia"/>
          <w:b/>
          <w:bCs/>
          <w:color w:val="auto"/>
          <w:sz w:val="24"/>
          <w:szCs w:val="24"/>
          <w:highlight w:val="none"/>
          <w:lang w:val="en-US" w:eastAsia="zh-CN"/>
        </w:rPr>
        <w:t>本要求</w:t>
      </w:r>
      <w:r>
        <w:rPr>
          <w:rFonts w:hint="eastAsia" w:asciiTheme="minorEastAsia" w:hAnsiTheme="minorEastAsia" w:eastAsiaTheme="minorEastAsia" w:cstheme="minorEastAsia"/>
          <w:b/>
          <w:bCs/>
          <w:color w:val="auto"/>
          <w:sz w:val="24"/>
          <w:szCs w:val="24"/>
          <w:highlight w:val="none"/>
          <w:lang w:eastAsia="zh-CN"/>
        </w:rPr>
        <w:t>为三个品牌均必须满足的统一标准，所有</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eastAsia="zh-CN"/>
        </w:rPr>
        <w:t>无论选择任一品牌</w:t>
      </w:r>
      <w:r>
        <w:rPr>
          <w:rFonts w:hint="eastAsia" w:asciiTheme="minorEastAsia" w:hAnsiTheme="minorEastAsia" w:eastAsiaTheme="minorEastAsia" w:cstheme="minorEastAsia"/>
          <w:b/>
          <w:bCs/>
          <w:color w:val="auto"/>
          <w:sz w:val="24"/>
          <w:szCs w:val="24"/>
          <w:highlight w:val="none"/>
          <w:lang w:val="en-US" w:eastAsia="zh-CN"/>
        </w:rPr>
        <w:t>竞价</w:t>
      </w:r>
      <w:r>
        <w:rPr>
          <w:rFonts w:hint="eastAsia" w:asciiTheme="minorEastAsia" w:hAnsiTheme="minorEastAsia" w:eastAsiaTheme="minorEastAsia" w:cstheme="minorEastAsia"/>
          <w:b/>
          <w:bCs/>
          <w:color w:val="auto"/>
          <w:sz w:val="24"/>
          <w:szCs w:val="24"/>
          <w:highlight w:val="none"/>
          <w:lang w:eastAsia="zh-CN"/>
        </w:rPr>
        <w:t>，均需全部响应）</w:t>
      </w:r>
    </w:p>
    <w:p>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20" w:firstLineChars="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产品标签应清晰标注其产品名称、净含量、制造者名称、地址、生产日期、保质期、产品标准号、食品生产许可证编号等内容。</w:t>
      </w:r>
    </w:p>
    <w:p>
      <w:pPr>
        <w:keepNext w:val="0"/>
        <w:keepLines w:val="0"/>
        <w:pageBreakBefore w:val="0"/>
        <w:widowControl w:val="0"/>
        <w:numPr>
          <w:ilvl w:val="0"/>
          <w:numId w:val="0"/>
        </w:numPr>
        <w:kinsoku/>
        <w:wordWrap/>
        <w:topLinePunct w:val="0"/>
        <w:bidi w:val="0"/>
        <w:snapToGrid/>
        <w:spacing w:line="360" w:lineRule="auto"/>
        <w:ind w:left="0" w:leftChars="0" w:firstLine="42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水应该无色、透明、清澈、无异味、无异臭，没有肉眼可见物</w:t>
      </w:r>
      <w:r>
        <w:rPr>
          <w:rFonts w:hint="eastAsia" w:ascii="宋体" w:hAnsi="宋体" w:eastAsia="宋体" w:cs="宋体"/>
          <w:color w:val="auto"/>
          <w:kern w:val="0"/>
          <w:sz w:val="24"/>
          <w:szCs w:val="24"/>
          <w:highlight w:val="none"/>
          <w:lang w:val="en-US" w:eastAsia="zh-CN" w:bidi="ar-SA"/>
        </w:rPr>
        <w:t>。</w:t>
      </w:r>
    </w:p>
    <w:p>
      <w:pPr>
        <w:keepNext w:val="0"/>
        <w:keepLines w:val="0"/>
        <w:pageBreakBefore w:val="0"/>
        <w:widowControl w:val="0"/>
        <w:numPr>
          <w:ilvl w:val="0"/>
          <w:numId w:val="0"/>
        </w:numPr>
        <w:kinsoku/>
        <w:wordWrap/>
        <w:topLinePunct w:val="0"/>
        <w:bidi w:val="0"/>
        <w:snapToGrid/>
        <w:spacing w:line="360" w:lineRule="auto"/>
        <w:ind w:left="0" w:leftChars="0" w:firstLine="42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不管楼层高低或者有无电梯，均须负责送水上门，不能加收运输费或上门费等额外费用</w:t>
      </w:r>
      <w:r>
        <w:rPr>
          <w:rFonts w:hint="eastAsia" w:ascii="宋体" w:hAnsi="宋体" w:eastAsia="宋体" w:cs="宋体"/>
          <w:color w:val="auto"/>
          <w:kern w:val="0"/>
          <w:sz w:val="24"/>
          <w:szCs w:val="24"/>
          <w:highlight w:val="none"/>
          <w:lang w:val="en-US" w:eastAsia="zh-CN" w:bidi="ar-SA"/>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送水时间：每天8:00-18:00。在送水时间内接到电话通知后一小时内送到指定地点。各科室若一个季度内投诉送水不及时超过5次，采购人将要求成交供应商进行整改，若成交供应商不进行整改或整改不到位，采购人有权终止合同。</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bCs/>
          <w:color w:val="auto"/>
          <w:sz w:val="24"/>
          <w:szCs w:val="24"/>
          <w:highlight w:val="none"/>
          <w:lang w:val="en-US" w:eastAsia="zh-CN"/>
        </w:rPr>
      </w:pPr>
      <w:r>
        <w:rPr>
          <w:rFonts w:hint="eastAsia" w:ascii="宋体" w:hAnsi="宋体" w:cs="Times New Roman"/>
          <w:bCs/>
          <w:color w:val="auto"/>
          <w:kern w:val="2"/>
          <w:sz w:val="24"/>
          <w:szCs w:val="24"/>
          <w:highlight w:val="none"/>
          <w:lang w:val="en-US" w:eastAsia="zh-CN" w:bidi="ar-SA"/>
        </w:rPr>
        <w:t>5</w:t>
      </w:r>
      <w:r>
        <w:rPr>
          <w:rFonts w:hint="default" w:ascii="宋体" w:hAnsi="宋体" w:eastAsia="宋体" w:cs="Times New Roman"/>
          <w:bCs/>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如果成交供应商提供的桶（瓶）装水出现质量问题，则必须马上停止供应该品牌桶（瓶）装水，并提供另外两种品牌合格的桶（瓶）装水替代。若一经查实确为水质量问题，采购人有权终止合同，并保留依法追求其责任的权利。</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bCs/>
          <w:color w:val="auto"/>
          <w:sz w:val="24"/>
          <w:szCs w:val="24"/>
          <w:highlight w:val="none"/>
          <w:lang w:val="en-US" w:eastAsia="zh-CN"/>
        </w:rPr>
      </w:pPr>
      <w:r>
        <w:rPr>
          <w:rFonts w:hint="eastAsia" w:ascii="宋体" w:hAnsi="宋体" w:cs="Times New Roman"/>
          <w:bCs/>
          <w:color w:val="auto"/>
          <w:kern w:val="2"/>
          <w:sz w:val="24"/>
          <w:szCs w:val="24"/>
          <w:highlight w:val="none"/>
          <w:lang w:val="en-US" w:eastAsia="zh-CN" w:bidi="ar-SA"/>
        </w:rPr>
        <w:t>6</w:t>
      </w:r>
      <w:r>
        <w:rPr>
          <w:rFonts w:hint="default" w:ascii="宋体" w:hAnsi="宋体" w:eastAsia="宋体" w:cs="Times New Roman"/>
          <w:bCs/>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成交供应商提供的桶（瓶）装水，桶（瓶）表面洁净无垢，商标清晰规范，桶装矿泉水采用一次性防伪桶盖和外包装袋。</w:t>
      </w:r>
      <w:r>
        <w:rPr>
          <w:rFonts w:hint="eastAsia" w:ascii="宋体" w:hAnsi="宋体" w:cs="宋体"/>
          <w:color w:val="auto"/>
          <w:kern w:val="0"/>
          <w:sz w:val="24"/>
          <w:szCs w:val="24"/>
          <w:highlight w:val="none"/>
          <w:lang w:val="zh-CN"/>
        </w:rPr>
        <w:t>供应商所供</w:t>
      </w:r>
      <w:r>
        <w:rPr>
          <w:rFonts w:hint="eastAsia" w:ascii="宋体" w:hAnsi="宋体"/>
          <w:bCs/>
          <w:color w:val="auto"/>
          <w:sz w:val="24"/>
          <w:szCs w:val="24"/>
          <w:highlight w:val="none"/>
          <w:lang w:val="en-US" w:eastAsia="zh-CN"/>
        </w:rPr>
        <w:t>桶（瓶）装水</w:t>
      </w:r>
      <w:r>
        <w:rPr>
          <w:rFonts w:hint="eastAsia" w:ascii="宋体" w:hAnsi="宋体" w:cs="宋体"/>
          <w:color w:val="auto"/>
          <w:kern w:val="0"/>
          <w:sz w:val="24"/>
          <w:szCs w:val="24"/>
          <w:highlight w:val="none"/>
          <w:lang w:val="zh-CN"/>
        </w:rPr>
        <w:t>保质期不得低于商品保质期的70% ，供应商违反要求的，采购人有权终止合同，没收履约保证金，并要求供应商按合同金额的2%支付违约金。</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bCs/>
          <w:color w:val="auto"/>
          <w:sz w:val="24"/>
          <w:szCs w:val="24"/>
          <w:highlight w:val="none"/>
          <w:lang w:val="en-US" w:eastAsia="zh-CN"/>
        </w:rPr>
      </w:pPr>
      <w:r>
        <w:rPr>
          <w:rFonts w:hint="eastAsia" w:ascii="宋体" w:hAnsi="宋体" w:cs="Times New Roman"/>
          <w:bCs/>
          <w:color w:val="auto"/>
          <w:kern w:val="2"/>
          <w:sz w:val="24"/>
          <w:szCs w:val="24"/>
          <w:highlight w:val="none"/>
          <w:lang w:val="en-US" w:eastAsia="zh-CN" w:bidi="ar-SA"/>
        </w:rPr>
        <w:t>7</w:t>
      </w:r>
      <w:r>
        <w:rPr>
          <w:rFonts w:hint="default" w:ascii="宋体" w:hAnsi="宋体" w:eastAsia="宋体" w:cs="Times New Roman"/>
          <w:bCs/>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成交供应商必须保障全年不间断对采购人正常供应桶（瓶）装水到指定区域，安排专职人员送水到工作场所，并承担桶装水出厂送至用户饮水机过程的所有费用。</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8</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成交供应商应加强对送水员工的日常安全教育与安全管理，避免任何安全事故的发生。因管理不善而造成采购人的设备、设施损坏，成交供应商应承担全部责任。</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9</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在合同履行期间，成交供应商每半年向采购人出具至少一次由当地质量检测部门所检验的具有CMA标识的桶装水检验报告。采购人可随时对成交供应商未开封的桶（瓶）装水进行水质抽检，若发现成交供应商提供的桶（瓶）装水未达到国家质量标准，采购人有权拒付本月桶（瓶）装水费用并终止合同，且抽检产生的一切费用由成交供应商承担</w:t>
      </w:r>
      <w:r>
        <w:rPr>
          <w:rFonts w:hint="eastAsia" w:ascii="宋体" w:hAnsi="宋体"/>
          <w:bCs/>
          <w:color w:val="auto"/>
          <w:sz w:val="24"/>
          <w:szCs w:val="24"/>
          <w:highlight w:val="none"/>
        </w:rPr>
        <w:t>。</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）各品牌</w:t>
      </w:r>
      <w:r>
        <w:rPr>
          <w:rFonts w:hint="eastAsia" w:asciiTheme="minorEastAsia" w:hAnsiTheme="minorEastAsia" w:eastAsiaTheme="minorEastAsia" w:cstheme="minorEastAsia"/>
          <w:b/>
          <w:bCs/>
          <w:color w:val="auto"/>
          <w:sz w:val="24"/>
          <w:szCs w:val="24"/>
          <w:highlight w:val="none"/>
          <w:lang w:val="en-US" w:eastAsia="zh-CN"/>
        </w:rPr>
        <w:t>采购清单及技术要求</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eastAsia="zh-CN"/>
        </w:rPr>
        <w:t>仅可选择其中一个品牌响应）</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1.梅花山矿泉水采购清单及技术要求</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1.1采购清单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002"/>
        <w:gridCol w:w="1733"/>
        <w:gridCol w:w="2030"/>
        <w:gridCol w:w="1213"/>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83"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合同包</w:t>
            </w:r>
          </w:p>
        </w:tc>
        <w:tc>
          <w:tcPr>
            <w:tcW w:w="1002"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品目号</w:t>
            </w:r>
          </w:p>
        </w:tc>
        <w:tc>
          <w:tcPr>
            <w:tcW w:w="173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名称</w:t>
            </w:r>
          </w:p>
        </w:tc>
        <w:tc>
          <w:tcPr>
            <w:tcW w:w="2030"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规格</w:t>
            </w:r>
          </w:p>
        </w:tc>
        <w:tc>
          <w:tcPr>
            <w:tcW w:w="121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单位</w:t>
            </w:r>
          </w:p>
        </w:tc>
        <w:tc>
          <w:tcPr>
            <w:tcW w:w="2076"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lang w:val="en-US" w:eastAsia="zh-CN"/>
              </w:rPr>
              <w:t>预算单价</w:t>
            </w:r>
            <w:r>
              <w:rPr>
                <w:rFonts w:hint="eastAsia" w:ascii="宋体" w:hAnsi="宋体"/>
                <w:b/>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3" w:type="dxa"/>
            <w:vMerge w:val="restart"/>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w:t>
            </w:r>
          </w:p>
        </w:tc>
        <w:tc>
          <w:tcPr>
            <w:tcW w:w="1002"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1-1</w:t>
            </w:r>
          </w:p>
        </w:tc>
        <w:tc>
          <w:tcPr>
            <w:tcW w:w="173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桶装水</w:t>
            </w:r>
          </w:p>
        </w:tc>
        <w:tc>
          <w:tcPr>
            <w:tcW w:w="203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每桶≥18.6L</w:t>
            </w:r>
          </w:p>
        </w:tc>
        <w:tc>
          <w:tcPr>
            <w:tcW w:w="121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w:t>
            </w:r>
          </w:p>
        </w:tc>
        <w:tc>
          <w:tcPr>
            <w:tcW w:w="207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元/桶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83" w:type="dxa"/>
            <w:vMerge w:val="continue"/>
            <w:vAlign w:val="center"/>
          </w:tcPr>
          <w:p>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02"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1-2</w:t>
            </w:r>
          </w:p>
        </w:tc>
        <w:tc>
          <w:tcPr>
            <w:tcW w:w="173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3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每瓶≥330ML</w:t>
            </w:r>
          </w:p>
        </w:tc>
        <w:tc>
          <w:tcPr>
            <w:tcW w:w="121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7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7</w:t>
            </w:r>
            <w:r>
              <w:rPr>
                <w:rFonts w:hint="eastAsia" w:ascii="宋体" w:hAnsi="宋体"/>
                <w:color w:val="auto"/>
                <w:kern w:val="0"/>
                <w:sz w:val="24"/>
                <w:szCs w:val="24"/>
                <w:highlight w:val="none"/>
              </w:rPr>
              <w:t>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3" w:type="dxa"/>
            <w:vMerge w:val="continue"/>
            <w:vAlign w:val="center"/>
          </w:tcPr>
          <w:p>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02"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1-3</w:t>
            </w:r>
          </w:p>
        </w:tc>
        <w:tc>
          <w:tcPr>
            <w:tcW w:w="173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3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每瓶≥560ML</w:t>
            </w:r>
          </w:p>
        </w:tc>
        <w:tc>
          <w:tcPr>
            <w:tcW w:w="1213"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7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元/件</w:t>
            </w:r>
          </w:p>
        </w:tc>
      </w:tr>
    </w:tbl>
    <w:p>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20" w:firstLineChars="0"/>
        <w:jc w:val="both"/>
        <w:textAlignment w:val="baseline"/>
        <w:rPr>
          <w:rFonts w:hint="eastAsia" w:ascii="宋体" w:hAnsi="宋体"/>
          <w:b/>
          <w:bCs w:val="0"/>
          <w:color w:val="auto"/>
          <w:sz w:val="24"/>
          <w:szCs w:val="24"/>
          <w:highlight w:val="none"/>
          <w:lang w:val="en-US" w:eastAsia="zh-CN"/>
        </w:rPr>
      </w:pPr>
      <w:r>
        <w:rPr>
          <w:rFonts w:hint="eastAsia" w:ascii="宋体" w:hAnsi="宋体"/>
          <w:color w:val="auto"/>
          <w:kern w:val="0"/>
          <w:sz w:val="24"/>
          <w:szCs w:val="24"/>
          <w:highlight w:val="none"/>
          <w:lang w:val="en-US" w:eastAsia="zh-CN"/>
        </w:rPr>
        <w:t>1.2水质要求：符合GB 8537-2018《食品安全国家标准饮用天然矿泉水》标准，</w:t>
      </w:r>
      <w:r>
        <w:rPr>
          <w:rFonts w:hint="eastAsia" w:ascii="宋体" w:hAnsi="宋体"/>
          <w:bCs/>
          <w:color w:val="auto"/>
          <w:sz w:val="24"/>
          <w:szCs w:val="24"/>
          <w:highlight w:val="none"/>
          <w:lang w:val="en-US" w:eastAsia="zh-CN"/>
        </w:rPr>
        <w:t>合同履约期间，若国家颁布新的标准，按新标准规定要求执行</w:t>
      </w:r>
      <w:r>
        <w:rPr>
          <w:rFonts w:hint="eastAsia" w:ascii="宋体" w:hAnsi="宋体" w:eastAsia="宋体" w:cs="宋体"/>
          <w:color w:val="auto"/>
          <w:kern w:val="0"/>
          <w:sz w:val="24"/>
          <w:szCs w:val="24"/>
          <w:highlight w:val="none"/>
          <w:lang w:val="en-US" w:eastAsia="zh-CN" w:bidi="ar-SA"/>
        </w:rPr>
        <w:t>。</w:t>
      </w:r>
      <w:r>
        <w:rPr>
          <w:rFonts w:hint="eastAsia" w:ascii="宋体" w:hAnsi="宋体"/>
          <w:color w:val="auto"/>
          <w:kern w:val="0"/>
          <w:sz w:val="24"/>
          <w:szCs w:val="24"/>
          <w:highlight w:val="none"/>
          <w:lang w:val="en-US" w:eastAsia="zh-CN"/>
        </w:rPr>
        <w:t>其中桶装水技术指标应至少达到如下要求：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①</w:t>
      </w:r>
      <w:r>
        <w:rPr>
          <w:rFonts w:hint="eastAsia" w:ascii="宋体" w:hAnsi="宋体"/>
          <w:b w:val="0"/>
          <w:bCs/>
          <w:color w:val="auto"/>
          <w:sz w:val="24"/>
          <w:szCs w:val="24"/>
          <w:highlight w:val="none"/>
        </w:rPr>
        <w:t>偏硅酸</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≥2</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rPr>
        <w:t>mg/L</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②</w:t>
      </w:r>
      <w:r>
        <w:rPr>
          <w:rFonts w:hint="eastAsia" w:ascii="宋体" w:hAnsi="宋体" w:cs="Times New Roman"/>
          <w:b w:val="0"/>
          <w:bCs/>
          <w:color w:val="auto"/>
          <w:kern w:val="2"/>
          <w:sz w:val="24"/>
          <w:szCs w:val="24"/>
          <w:highlight w:val="none"/>
          <w:lang w:val="en-US" w:eastAsia="zh-CN" w:bidi="ar-SA"/>
        </w:rPr>
        <w:t>浑浊度：≤0.2NTU</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③</w:t>
      </w:r>
      <w:r>
        <w:rPr>
          <w:rFonts w:ascii="宋体" w:hAnsi="宋体" w:eastAsia="宋体" w:cs="宋体"/>
          <w:b w:val="0"/>
          <w:bCs/>
          <w:color w:val="auto"/>
          <w:sz w:val="24"/>
          <w:szCs w:val="24"/>
          <w:highlight w:val="none"/>
        </w:rPr>
        <w:t>溴酸盐</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④</w:t>
      </w:r>
      <w:r>
        <w:rPr>
          <w:rFonts w:ascii="宋体" w:hAnsi="宋体" w:eastAsia="宋体" w:cs="宋体"/>
          <w:b w:val="0"/>
          <w:bCs/>
          <w:color w:val="auto"/>
          <w:sz w:val="24"/>
          <w:szCs w:val="24"/>
          <w:highlight w:val="none"/>
        </w:rPr>
        <w:t>大肠菌群</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80" w:firstLineChars="200"/>
        <w:jc w:val="both"/>
        <w:textAlignment w:val="baseline"/>
        <w:rPr>
          <w:rFonts w:hint="eastAsia" w:ascii="宋体" w:hAnsi="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⑤</w:t>
      </w:r>
      <w:r>
        <w:rPr>
          <w:rFonts w:ascii="宋体" w:hAnsi="宋体" w:eastAsia="宋体" w:cs="宋体"/>
          <w:b w:val="0"/>
          <w:bCs/>
          <w:color w:val="auto"/>
          <w:sz w:val="24"/>
          <w:szCs w:val="24"/>
          <w:highlight w:val="none"/>
        </w:rPr>
        <w:t>粪链球菌</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240" w:firstLineChars="100"/>
        <w:jc w:val="both"/>
        <w:textAlignment w:val="baseline"/>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1.3</w:t>
      </w:r>
      <w:r>
        <w:rPr>
          <w:rFonts w:hint="eastAsia" w:ascii="宋体" w:hAnsi="宋体" w:cs="宋体"/>
          <w:b w:val="0"/>
          <w:bCs/>
          <w:color w:val="auto"/>
          <w:sz w:val="24"/>
          <w:szCs w:val="24"/>
          <w:highlight w:val="none"/>
          <w:lang w:val="en-US" w:eastAsia="zh-CN"/>
        </w:rPr>
        <w:t>供</w:t>
      </w:r>
      <w:r>
        <w:rPr>
          <w:rFonts w:hint="eastAsia" w:ascii="宋体" w:hAnsi="宋体" w:cs="Times New Roman"/>
          <w:b w:val="0"/>
          <w:bCs/>
          <w:color w:val="auto"/>
          <w:kern w:val="0"/>
          <w:sz w:val="24"/>
          <w:szCs w:val="24"/>
          <w:highlight w:val="none"/>
          <w:lang w:val="en-US" w:eastAsia="zh-CN"/>
        </w:rPr>
        <w:t>应商须提供质量检测部门所检验的具有CMA标识的桶装水检验检测报告复印件并加盖公章予以佐证，</w:t>
      </w:r>
      <w:r>
        <w:rPr>
          <w:rFonts w:hint="eastAsia" w:ascii="宋体" w:hAnsi="宋体" w:cs="宋体"/>
          <w:b w:val="0"/>
          <w:bCs/>
          <w:color w:val="auto"/>
          <w:kern w:val="0"/>
          <w:sz w:val="24"/>
          <w:szCs w:val="24"/>
          <w:highlight w:val="none"/>
          <w:lang w:val="zh-CN"/>
        </w:rPr>
        <w:t>未提供或所提供检验</w:t>
      </w:r>
      <w:r>
        <w:rPr>
          <w:rFonts w:hint="eastAsia" w:ascii="宋体" w:hAnsi="宋体" w:cs="Times New Roman"/>
          <w:b w:val="0"/>
          <w:bCs/>
          <w:color w:val="auto"/>
          <w:kern w:val="0"/>
          <w:sz w:val="24"/>
          <w:szCs w:val="24"/>
          <w:highlight w:val="none"/>
          <w:lang w:val="en-US" w:eastAsia="zh-CN"/>
        </w:rPr>
        <w:t>检测</w:t>
      </w:r>
      <w:r>
        <w:rPr>
          <w:rFonts w:hint="eastAsia" w:ascii="宋体" w:hAnsi="宋体" w:cs="宋体"/>
          <w:b w:val="0"/>
          <w:bCs/>
          <w:color w:val="auto"/>
          <w:kern w:val="0"/>
          <w:sz w:val="24"/>
          <w:szCs w:val="24"/>
          <w:highlight w:val="none"/>
          <w:lang w:val="zh-CN"/>
        </w:rPr>
        <w:t>报告不符合要求的，视为未完全响应采购要求，为无效</w:t>
      </w:r>
      <w:r>
        <w:rPr>
          <w:rFonts w:hint="eastAsia" w:ascii="宋体" w:hAnsi="宋体" w:cs="宋体"/>
          <w:b w:val="0"/>
          <w:bCs/>
          <w:color w:val="auto"/>
          <w:kern w:val="0"/>
          <w:sz w:val="24"/>
          <w:szCs w:val="24"/>
          <w:highlight w:val="none"/>
          <w:lang w:val="en-US" w:eastAsia="zh-CN"/>
        </w:rPr>
        <w:t>竞价</w:t>
      </w:r>
      <w:r>
        <w:rPr>
          <w:rFonts w:hint="eastAsia" w:ascii="宋体" w:hAnsi="宋体" w:cs="宋体"/>
          <w:b w:val="0"/>
          <w:bCs/>
          <w:color w:val="auto"/>
          <w:kern w:val="0"/>
          <w:sz w:val="24"/>
          <w:szCs w:val="24"/>
          <w:highlight w:val="none"/>
          <w:lang w:val="zh-CN"/>
        </w:rPr>
        <w:t>。</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2.标致饮用天然泉水采购清单及技术要求</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2.1采购清单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11"/>
        <w:gridCol w:w="1749"/>
        <w:gridCol w:w="2048"/>
        <w:gridCol w:w="1200"/>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3"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合同包</w:t>
            </w:r>
          </w:p>
        </w:tc>
        <w:tc>
          <w:tcPr>
            <w:tcW w:w="1011"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品目号</w:t>
            </w:r>
          </w:p>
        </w:tc>
        <w:tc>
          <w:tcPr>
            <w:tcW w:w="1749"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名称</w:t>
            </w:r>
          </w:p>
        </w:tc>
        <w:tc>
          <w:tcPr>
            <w:tcW w:w="2048"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规格</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单位</w:t>
            </w:r>
          </w:p>
        </w:tc>
        <w:tc>
          <w:tcPr>
            <w:tcW w:w="2117"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lang w:eastAsia="zh-CN"/>
              </w:rPr>
              <w:t>预算</w:t>
            </w:r>
            <w:r>
              <w:rPr>
                <w:rFonts w:hint="eastAsia" w:ascii="宋体" w:hAnsi="宋体"/>
                <w:b/>
                <w:color w:val="auto"/>
                <w:kern w:val="0"/>
                <w:sz w:val="24"/>
                <w:szCs w:val="24"/>
                <w:highlight w:val="none"/>
                <w:lang w:val="en-US" w:eastAsia="zh-CN"/>
              </w:rPr>
              <w:t>单</w:t>
            </w:r>
            <w:r>
              <w:rPr>
                <w:rFonts w:hint="eastAsia" w:ascii="宋体" w:hAnsi="宋体"/>
                <w:b/>
                <w:color w:val="auto"/>
                <w:kern w:val="0"/>
                <w:sz w:val="24"/>
                <w:szCs w:val="24"/>
                <w:highlight w:val="none"/>
                <w:lang w:eastAsia="zh-CN"/>
              </w:rPr>
              <w:t>价</w:t>
            </w:r>
            <w:r>
              <w:rPr>
                <w:rFonts w:hint="eastAsia" w:ascii="宋体" w:hAnsi="宋体"/>
                <w:b/>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93" w:type="dxa"/>
            <w:vMerge w:val="restart"/>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w:t>
            </w:r>
          </w:p>
        </w:tc>
        <w:tc>
          <w:tcPr>
            <w:tcW w:w="1011"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1-1</w:t>
            </w:r>
          </w:p>
        </w:tc>
        <w:tc>
          <w:tcPr>
            <w:tcW w:w="1749"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桶装水</w:t>
            </w:r>
          </w:p>
        </w:tc>
        <w:tc>
          <w:tcPr>
            <w:tcW w:w="2048"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每桶≥18.</w:t>
            </w:r>
            <w:r>
              <w:rPr>
                <w:rFonts w:hint="eastAsia" w:ascii="宋体" w:hAnsi="宋体"/>
                <w:color w:val="auto"/>
                <w:kern w:val="0"/>
                <w:sz w:val="24"/>
                <w:szCs w:val="24"/>
                <w:highlight w:val="none"/>
                <w:lang w:val="en-US" w:eastAsia="zh-CN"/>
              </w:rPr>
              <w:t>9</w:t>
            </w:r>
            <w:r>
              <w:rPr>
                <w:rFonts w:hint="eastAsia" w:ascii="宋体" w:hAnsi="宋体"/>
                <w:color w:val="auto"/>
                <w:kern w:val="0"/>
                <w:sz w:val="24"/>
                <w:szCs w:val="24"/>
                <w:highlight w:val="none"/>
              </w:rPr>
              <w:t>L</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w:t>
            </w:r>
          </w:p>
        </w:tc>
        <w:tc>
          <w:tcPr>
            <w:tcW w:w="211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元/桶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93" w:type="dxa"/>
            <w:vMerge w:val="continue"/>
            <w:vAlign w:val="center"/>
          </w:tcPr>
          <w:p>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11"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1-2</w:t>
            </w:r>
          </w:p>
        </w:tc>
        <w:tc>
          <w:tcPr>
            <w:tcW w:w="1749"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48"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每瓶≥330ML</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11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7</w:t>
            </w:r>
            <w:r>
              <w:rPr>
                <w:rFonts w:hint="eastAsia" w:ascii="宋体" w:hAnsi="宋体"/>
                <w:color w:val="auto"/>
                <w:kern w:val="0"/>
                <w:sz w:val="24"/>
                <w:szCs w:val="24"/>
                <w:highlight w:val="none"/>
              </w:rPr>
              <w:t>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93" w:type="dxa"/>
            <w:vMerge w:val="continue"/>
            <w:vAlign w:val="center"/>
          </w:tcPr>
          <w:p>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11"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1-3</w:t>
            </w:r>
          </w:p>
        </w:tc>
        <w:tc>
          <w:tcPr>
            <w:tcW w:w="1749"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48"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每瓶≥5</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0ML</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11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元/件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color w:val="auto"/>
          <w:kern w:val="0"/>
          <w:sz w:val="24"/>
          <w:szCs w:val="24"/>
          <w:highlight w:val="none"/>
          <w:lang w:val="en-US" w:eastAsia="zh-CN"/>
        </w:rPr>
      </w:pPr>
      <w:r>
        <w:rPr>
          <w:rFonts w:hint="eastAsia" w:ascii="宋体" w:hAnsi="宋体"/>
          <w:b w:val="0"/>
          <w:bCs/>
          <w:color w:val="auto"/>
          <w:sz w:val="24"/>
          <w:szCs w:val="24"/>
          <w:highlight w:val="none"/>
          <w:lang w:val="en-US" w:eastAsia="zh-CN"/>
        </w:rPr>
        <w:t>2.2</w:t>
      </w:r>
      <w:r>
        <w:rPr>
          <w:rFonts w:hint="eastAsia" w:ascii="宋体" w:hAnsi="宋体"/>
          <w:color w:val="auto"/>
          <w:kern w:val="0"/>
          <w:sz w:val="24"/>
          <w:szCs w:val="24"/>
          <w:highlight w:val="none"/>
          <w:lang w:val="en-US" w:eastAsia="zh-CN"/>
        </w:rPr>
        <w:t>水质要求：符合</w:t>
      </w:r>
      <w:r>
        <w:rPr>
          <w:rFonts w:hint="eastAsia" w:ascii="宋体" w:hAnsi="宋体"/>
          <w:bCs/>
          <w:color w:val="auto"/>
          <w:sz w:val="24"/>
          <w:szCs w:val="24"/>
          <w:highlight w:val="none"/>
          <w:lang w:val="en-US" w:eastAsia="zh-CN"/>
        </w:rPr>
        <w:t>GB 19298-2014</w:t>
      </w:r>
      <w:r>
        <w:rPr>
          <w:rFonts w:hint="eastAsia" w:ascii="宋体" w:hAnsi="宋体"/>
          <w:color w:val="auto"/>
          <w:kern w:val="0"/>
          <w:sz w:val="24"/>
          <w:szCs w:val="24"/>
          <w:highlight w:val="none"/>
          <w:lang w:val="en-US" w:eastAsia="zh-CN"/>
        </w:rPr>
        <w:t>《食品安全国家标准包装饮用水》标准，</w:t>
      </w:r>
      <w:r>
        <w:rPr>
          <w:rFonts w:hint="eastAsia" w:ascii="宋体" w:hAnsi="宋体"/>
          <w:bCs/>
          <w:color w:val="auto"/>
          <w:sz w:val="24"/>
          <w:szCs w:val="24"/>
          <w:highlight w:val="none"/>
          <w:lang w:val="en-US" w:eastAsia="zh-CN"/>
        </w:rPr>
        <w:t>合同履约期间，若国家颁布新的标准，按新标准规定要求执行</w:t>
      </w:r>
      <w:r>
        <w:rPr>
          <w:rFonts w:hint="eastAsia" w:ascii="宋体" w:hAnsi="宋体" w:eastAsia="宋体" w:cs="宋体"/>
          <w:color w:val="auto"/>
          <w:kern w:val="0"/>
          <w:sz w:val="24"/>
          <w:szCs w:val="24"/>
          <w:highlight w:val="none"/>
          <w:lang w:val="en-US" w:eastAsia="zh-CN" w:bidi="ar-SA"/>
        </w:rPr>
        <w:t>。</w:t>
      </w:r>
      <w:r>
        <w:rPr>
          <w:rFonts w:hint="eastAsia" w:ascii="宋体" w:hAnsi="宋体"/>
          <w:color w:val="auto"/>
          <w:kern w:val="0"/>
          <w:sz w:val="24"/>
          <w:szCs w:val="24"/>
          <w:highlight w:val="none"/>
          <w:lang w:val="en-US" w:eastAsia="zh-CN"/>
        </w:rPr>
        <w:t>其中桶装水技术指标应至少达到如下要求：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①</w:t>
      </w:r>
      <w:r>
        <w:rPr>
          <w:rFonts w:hint="eastAsia" w:ascii="宋体" w:hAnsi="宋体" w:cs="Times New Roman"/>
          <w:b w:val="0"/>
          <w:bCs/>
          <w:color w:val="auto"/>
          <w:kern w:val="2"/>
          <w:sz w:val="24"/>
          <w:szCs w:val="24"/>
          <w:highlight w:val="none"/>
          <w:lang w:val="en-US" w:eastAsia="zh-CN" w:bidi="ar-SA"/>
        </w:rPr>
        <w:t>耗氧量：≤1.5</w:t>
      </w:r>
      <w:r>
        <w:rPr>
          <w:rFonts w:hint="eastAsia" w:ascii="宋体" w:hAnsi="宋体"/>
          <w:b w:val="0"/>
          <w:bCs/>
          <w:color w:val="auto"/>
          <w:sz w:val="24"/>
          <w:szCs w:val="24"/>
          <w:highlight w:val="none"/>
        </w:rPr>
        <w:t>mg/L</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②</w:t>
      </w:r>
      <w:r>
        <w:rPr>
          <w:rFonts w:hint="eastAsia" w:ascii="宋体" w:hAnsi="宋体" w:cs="Times New Roman"/>
          <w:b w:val="0"/>
          <w:bCs/>
          <w:color w:val="auto"/>
          <w:kern w:val="2"/>
          <w:sz w:val="24"/>
          <w:szCs w:val="24"/>
          <w:highlight w:val="none"/>
          <w:lang w:val="en-US" w:eastAsia="zh-CN" w:bidi="ar-SA"/>
        </w:rPr>
        <w:t>三氯甲烷：不得检出</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③</w:t>
      </w:r>
      <w:r>
        <w:rPr>
          <w:rFonts w:ascii="宋体" w:hAnsi="宋体" w:eastAsia="宋体" w:cs="宋体"/>
          <w:b w:val="0"/>
          <w:bCs/>
          <w:color w:val="auto"/>
          <w:sz w:val="24"/>
          <w:szCs w:val="24"/>
          <w:highlight w:val="none"/>
        </w:rPr>
        <w:t>溴酸盐</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④</w:t>
      </w:r>
      <w:r>
        <w:rPr>
          <w:rFonts w:hint="eastAsia" w:ascii="宋体" w:hAnsi="宋体" w:eastAsia="宋体" w:cs="Times New Roman"/>
          <w:color w:val="auto"/>
          <w:kern w:val="0"/>
          <w:sz w:val="24"/>
          <w:szCs w:val="24"/>
          <w:highlight w:val="none"/>
          <w:lang w:val="en-US" w:eastAsia="zh-CN" w:bidi="ar-SA"/>
        </w:rPr>
        <w:t>亚硝酸盐：不得检出；</w:t>
      </w:r>
    </w:p>
    <w:p>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20" w:firstLineChars="0"/>
        <w:jc w:val="both"/>
        <w:textAlignment w:val="baseline"/>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2.3供应商须提供质量检测部门所检验的具有CMA标识的桶装水检验检测报告复印件并加盖公章予以佐证，</w:t>
      </w:r>
      <w:r>
        <w:rPr>
          <w:rFonts w:hint="eastAsia" w:ascii="宋体" w:hAnsi="宋体" w:eastAsia="宋体" w:cs="Times New Roman"/>
          <w:b w:val="0"/>
          <w:bCs w:val="0"/>
          <w:color w:val="auto"/>
          <w:kern w:val="0"/>
          <w:sz w:val="24"/>
          <w:szCs w:val="24"/>
          <w:highlight w:val="none"/>
          <w:lang w:val="zh-CN" w:eastAsia="zh-CN" w:bidi="ar-SA"/>
        </w:rPr>
        <w:t>未提供或所提供检验</w:t>
      </w:r>
      <w:r>
        <w:rPr>
          <w:rFonts w:hint="eastAsia" w:ascii="宋体" w:hAnsi="宋体" w:eastAsia="宋体" w:cs="Times New Roman"/>
          <w:b w:val="0"/>
          <w:bCs w:val="0"/>
          <w:color w:val="auto"/>
          <w:kern w:val="0"/>
          <w:sz w:val="24"/>
          <w:szCs w:val="24"/>
          <w:highlight w:val="none"/>
          <w:lang w:val="en-US" w:eastAsia="zh-CN" w:bidi="ar-SA"/>
        </w:rPr>
        <w:t>检测</w:t>
      </w:r>
      <w:r>
        <w:rPr>
          <w:rFonts w:hint="eastAsia" w:ascii="宋体" w:hAnsi="宋体" w:eastAsia="宋体" w:cs="Times New Roman"/>
          <w:b w:val="0"/>
          <w:bCs w:val="0"/>
          <w:color w:val="auto"/>
          <w:kern w:val="0"/>
          <w:sz w:val="24"/>
          <w:szCs w:val="24"/>
          <w:highlight w:val="none"/>
          <w:lang w:val="zh-CN" w:eastAsia="zh-CN" w:bidi="ar-SA"/>
        </w:rPr>
        <w:t>报告不符合要求的，视为未完全响应采购要求，为无效</w:t>
      </w:r>
      <w:r>
        <w:rPr>
          <w:rFonts w:hint="eastAsia" w:ascii="宋体" w:hAnsi="宋体" w:eastAsia="宋体" w:cs="Times New Roman"/>
          <w:b w:val="0"/>
          <w:bCs w:val="0"/>
          <w:color w:val="auto"/>
          <w:kern w:val="0"/>
          <w:sz w:val="24"/>
          <w:szCs w:val="24"/>
          <w:highlight w:val="none"/>
          <w:lang w:val="en-US" w:eastAsia="zh-CN" w:bidi="ar-SA"/>
        </w:rPr>
        <w:t>竞价</w:t>
      </w:r>
      <w:r>
        <w:rPr>
          <w:rFonts w:hint="eastAsia" w:ascii="宋体" w:hAnsi="宋体" w:eastAsia="宋体" w:cs="Times New Roman"/>
          <w:b w:val="0"/>
          <w:bCs w:val="0"/>
          <w:color w:val="auto"/>
          <w:kern w:val="0"/>
          <w:sz w:val="24"/>
          <w:szCs w:val="24"/>
          <w:highlight w:val="none"/>
          <w:lang w:val="zh-CN" w:eastAsia="zh-CN" w:bidi="ar-SA"/>
        </w:rPr>
        <w:t>。</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3.荣华山饮用水采购清单及技术要求</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3.1采购清单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997"/>
        <w:gridCol w:w="1726"/>
        <w:gridCol w:w="2078"/>
        <w:gridCol w:w="120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8"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合同包</w:t>
            </w:r>
          </w:p>
        </w:tc>
        <w:tc>
          <w:tcPr>
            <w:tcW w:w="99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品目号</w:t>
            </w:r>
          </w:p>
        </w:tc>
        <w:tc>
          <w:tcPr>
            <w:tcW w:w="172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名称</w:t>
            </w:r>
          </w:p>
        </w:tc>
        <w:tc>
          <w:tcPr>
            <w:tcW w:w="2078"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规格</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单位</w:t>
            </w:r>
          </w:p>
        </w:tc>
        <w:tc>
          <w:tcPr>
            <w:tcW w:w="2094" w:type="dxa"/>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lang w:eastAsia="zh-CN"/>
              </w:rPr>
              <w:t>预算</w:t>
            </w:r>
            <w:r>
              <w:rPr>
                <w:rFonts w:hint="eastAsia" w:ascii="宋体" w:hAnsi="宋体"/>
                <w:b/>
                <w:color w:val="auto"/>
                <w:kern w:val="0"/>
                <w:sz w:val="24"/>
                <w:szCs w:val="24"/>
                <w:highlight w:val="none"/>
                <w:lang w:val="en-US" w:eastAsia="zh-CN"/>
              </w:rPr>
              <w:t>单</w:t>
            </w:r>
            <w:r>
              <w:rPr>
                <w:rFonts w:hint="eastAsia" w:ascii="宋体" w:hAnsi="宋体"/>
                <w:b/>
                <w:color w:val="auto"/>
                <w:kern w:val="0"/>
                <w:sz w:val="24"/>
                <w:szCs w:val="24"/>
                <w:highlight w:val="none"/>
                <w:lang w:eastAsia="zh-CN"/>
              </w:rPr>
              <w:t>价</w:t>
            </w:r>
            <w:r>
              <w:rPr>
                <w:rFonts w:hint="eastAsia" w:ascii="宋体" w:hAnsi="宋体"/>
                <w:b/>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78" w:type="dxa"/>
            <w:vMerge w:val="restart"/>
            <w:shd w:val="clear" w:color="auto" w:fill="auto"/>
            <w:vAlign w:val="center"/>
          </w:tcPr>
          <w:p>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w:t>
            </w:r>
          </w:p>
        </w:tc>
        <w:tc>
          <w:tcPr>
            <w:tcW w:w="99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1-1</w:t>
            </w:r>
          </w:p>
        </w:tc>
        <w:tc>
          <w:tcPr>
            <w:tcW w:w="172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桶装水</w:t>
            </w:r>
          </w:p>
        </w:tc>
        <w:tc>
          <w:tcPr>
            <w:tcW w:w="2078"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每桶≥18L</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w:t>
            </w:r>
          </w:p>
        </w:tc>
        <w:tc>
          <w:tcPr>
            <w:tcW w:w="2094"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元/桶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78" w:type="dxa"/>
            <w:vMerge w:val="continue"/>
            <w:vAlign w:val="center"/>
          </w:tcPr>
          <w:p>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99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1-2</w:t>
            </w:r>
          </w:p>
        </w:tc>
        <w:tc>
          <w:tcPr>
            <w:tcW w:w="172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78"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每瓶≥3</w:t>
            </w:r>
            <w:r>
              <w:rPr>
                <w:rFonts w:hint="eastAsia" w:ascii="宋体" w:hAnsi="宋体"/>
                <w:color w:val="auto"/>
                <w:kern w:val="0"/>
                <w:sz w:val="24"/>
                <w:szCs w:val="24"/>
                <w:highlight w:val="none"/>
                <w:lang w:val="en-US" w:eastAsia="zh-CN"/>
              </w:rPr>
              <w:t>75</w:t>
            </w:r>
            <w:r>
              <w:rPr>
                <w:rFonts w:hint="eastAsia" w:ascii="宋体" w:hAnsi="宋体"/>
                <w:color w:val="auto"/>
                <w:kern w:val="0"/>
                <w:sz w:val="24"/>
                <w:szCs w:val="24"/>
                <w:highlight w:val="none"/>
              </w:rPr>
              <w:t>ML</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94"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78" w:type="dxa"/>
            <w:vMerge w:val="continue"/>
            <w:vAlign w:val="center"/>
          </w:tcPr>
          <w:p>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997"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1-3</w:t>
            </w:r>
          </w:p>
        </w:tc>
        <w:tc>
          <w:tcPr>
            <w:tcW w:w="1726"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78"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每瓶≥5</w:t>
            </w:r>
            <w:r>
              <w:rPr>
                <w:rFonts w:hint="eastAsia" w:ascii="宋体" w:hAnsi="宋体"/>
                <w:color w:val="auto"/>
                <w:kern w:val="0"/>
                <w:sz w:val="24"/>
                <w:szCs w:val="24"/>
                <w:highlight w:val="none"/>
                <w:lang w:val="en-US" w:eastAsia="zh-CN"/>
              </w:rPr>
              <w:t>0</w:t>
            </w:r>
            <w:r>
              <w:rPr>
                <w:rFonts w:hint="eastAsia" w:ascii="宋体" w:hAnsi="宋体"/>
                <w:color w:val="auto"/>
                <w:kern w:val="0"/>
                <w:sz w:val="24"/>
                <w:szCs w:val="24"/>
                <w:highlight w:val="none"/>
              </w:rPr>
              <w:t>0ML</w:t>
            </w:r>
          </w:p>
        </w:tc>
        <w:tc>
          <w:tcPr>
            <w:tcW w:w="1200"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94" w:type="dxa"/>
            <w:shd w:val="clear" w:color="auto" w:fill="auto"/>
            <w:vAlign w:val="center"/>
          </w:tcPr>
          <w:p>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9</w:t>
            </w:r>
            <w:r>
              <w:rPr>
                <w:rFonts w:hint="eastAsia" w:ascii="宋体" w:hAnsi="宋体"/>
                <w:color w:val="auto"/>
                <w:kern w:val="0"/>
                <w:sz w:val="24"/>
                <w:szCs w:val="24"/>
                <w:highlight w:val="none"/>
              </w:rPr>
              <w:t>元/件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color w:val="auto"/>
          <w:kern w:val="0"/>
          <w:sz w:val="24"/>
          <w:szCs w:val="24"/>
          <w:highlight w:val="none"/>
          <w:lang w:val="en-US" w:eastAsia="zh-CN"/>
        </w:rPr>
      </w:pPr>
      <w:r>
        <w:rPr>
          <w:rFonts w:hint="eastAsia" w:ascii="宋体" w:hAnsi="宋体"/>
          <w:b w:val="0"/>
          <w:bCs/>
          <w:color w:val="auto"/>
          <w:sz w:val="24"/>
          <w:szCs w:val="24"/>
          <w:highlight w:val="none"/>
          <w:lang w:val="en-US" w:eastAsia="zh-CN"/>
        </w:rPr>
        <w:t>3.2</w:t>
      </w:r>
      <w:r>
        <w:rPr>
          <w:rFonts w:hint="eastAsia" w:ascii="宋体" w:hAnsi="宋体"/>
          <w:color w:val="auto"/>
          <w:kern w:val="0"/>
          <w:sz w:val="24"/>
          <w:szCs w:val="24"/>
          <w:highlight w:val="none"/>
          <w:lang w:val="en-US" w:eastAsia="zh-CN"/>
        </w:rPr>
        <w:t>水质要求：符合</w:t>
      </w:r>
      <w:r>
        <w:rPr>
          <w:rFonts w:hint="eastAsia" w:ascii="宋体" w:hAnsi="宋体"/>
          <w:bCs/>
          <w:color w:val="auto"/>
          <w:sz w:val="24"/>
          <w:szCs w:val="24"/>
          <w:highlight w:val="none"/>
          <w:lang w:val="en-US" w:eastAsia="zh-CN"/>
        </w:rPr>
        <w:t>GB 19298-2014</w:t>
      </w:r>
      <w:r>
        <w:rPr>
          <w:rFonts w:hint="eastAsia" w:ascii="宋体" w:hAnsi="宋体"/>
          <w:color w:val="auto"/>
          <w:kern w:val="0"/>
          <w:sz w:val="24"/>
          <w:szCs w:val="24"/>
          <w:highlight w:val="none"/>
          <w:lang w:val="en-US" w:eastAsia="zh-CN"/>
        </w:rPr>
        <w:t>《食品安全国家标准包装饮用水》标准，</w:t>
      </w:r>
      <w:r>
        <w:rPr>
          <w:rFonts w:hint="eastAsia" w:ascii="宋体" w:hAnsi="宋体"/>
          <w:bCs/>
          <w:color w:val="auto"/>
          <w:sz w:val="24"/>
          <w:szCs w:val="24"/>
          <w:highlight w:val="none"/>
          <w:lang w:val="en-US" w:eastAsia="zh-CN"/>
        </w:rPr>
        <w:t>合同履约期间，若国家颁布新的标准，按新标准规定要求执行</w:t>
      </w:r>
      <w:r>
        <w:rPr>
          <w:rFonts w:hint="eastAsia" w:ascii="宋体" w:hAnsi="宋体" w:eastAsia="宋体" w:cs="宋体"/>
          <w:color w:val="auto"/>
          <w:kern w:val="0"/>
          <w:sz w:val="24"/>
          <w:szCs w:val="24"/>
          <w:highlight w:val="none"/>
          <w:lang w:val="en-US" w:eastAsia="zh-CN" w:bidi="ar-SA"/>
        </w:rPr>
        <w:t>。</w:t>
      </w:r>
      <w:r>
        <w:rPr>
          <w:rFonts w:hint="eastAsia" w:ascii="宋体" w:hAnsi="宋体"/>
          <w:color w:val="auto"/>
          <w:kern w:val="0"/>
          <w:sz w:val="24"/>
          <w:szCs w:val="24"/>
          <w:highlight w:val="none"/>
          <w:lang w:val="en-US" w:eastAsia="zh-CN"/>
        </w:rPr>
        <w:t>其中桶装水技术指标应至少达到如下要求：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①</w:t>
      </w:r>
      <w:r>
        <w:rPr>
          <w:rFonts w:hint="eastAsia" w:ascii="宋体" w:hAnsi="宋体" w:cs="Times New Roman"/>
          <w:b w:val="0"/>
          <w:bCs/>
          <w:color w:val="auto"/>
          <w:kern w:val="2"/>
          <w:sz w:val="24"/>
          <w:szCs w:val="24"/>
          <w:highlight w:val="none"/>
          <w:lang w:val="en-US" w:eastAsia="zh-CN" w:bidi="ar-SA"/>
        </w:rPr>
        <w:t>耗氧量：≤1.5</w:t>
      </w:r>
      <w:r>
        <w:rPr>
          <w:rFonts w:hint="eastAsia" w:ascii="宋体" w:hAnsi="宋体"/>
          <w:b w:val="0"/>
          <w:bCs/>
          <w:color w:val="auto"/>
          <w:sz w:val="24"/>
          <w:szCs w:val="24"/>
          <w:highlight w:val="none"/>
        </w:rPr>
        <w:t>mg/L</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②</w:t>
      </w:r>
      <w:r>
        <w:rPr>
          <w:rFonts w:hint="eastAsia" w:ascii="宋体" w:hAnsi="宋体" w:cs="Times New Roman"/>
          <w:b w:val="0"/>
          <w:bCs/>
          <w:color w:val="auto"/>
          <w:kern w:val="2"/>
          <w:sz w:val="24"/>
          <w:szCs w:val="24"/>
          <w:highlight w:val="none"/>
          <w:lang w:val="en-US" w:eastAsia="zh-CN" w:bidi="ar-SA"/>
        </w:rPr>
        <w:t>三氯甲烷：不得检出</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③</w:t>
      </w:r>
      <w:r>
        <w:rPr>
          <w:rFonts w:ascii="宋体" w:hAnsi="宋体" w:eastAsia="宋体" w:cs="宋体"/>
          <w:b w:val="0"/>
          <w:bCs/>
          <w:color w:val="auto"/>
          <w:sz w:val="24"/>
          <w:szCs w:val="24"/>
          <w:highlight w:val="none"/>
        </w:rPr>
        <w:t>溴酸盐</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④</w:t>
      </w:r>
      <w:r>
        <w:rPr>
          <w:rFonts w:hint="eastAsia" w:ascii="宋体" w:hAnsi="宋体" w:eastAsia="宋体" w:cs="Times New Roman"/>
          <w:color w:val="auto"/>
          <w:kern w:val="0"/>
          <w:sz w:val="24"/>
          <w:szCs w:val="24"/>
          <w:highlight w:val="none"/>
          <w:lang w:val="en-US" w:eastAsia="zh-CN" w:bidi="ar-SA"/>
        </w:rPr>
        <w:t>亚硝酸盐：不得检出；</w:t>
      </w:r>
    </w:p>
    <w:p>
      <w:pPr>
        <w:pStyle w:val="2"/>
        <w:widowControl/>
        <w:spacing w:after="0" w:line="360" w:lineRule="auto"/>
        <w:ind w:left="0" w:leftChars="0" w:firstLine="480" w:firstLineChars="200"/>
        <w:rPr>
          <w:rFonts w:hint="eastAsia" w:hAnsi="宋体"/>
          <w:b/>
          <w:color w:val="auto"/>
          <w:sz w:val="24"/>
          <w:szCs w:val="24"/>
          <w:highlight w:val="none"/>
        </w:rPr>
      </w:pPr>
      <w:r>
        <w:rPr>
          <w:rFonts w:hint="eastAsia" w:ascii="宋体" w:hAnsi="宋体" w:cs="Times New Roman"/>
          <w:b w:val="0"/>
          <w:bCs w:val="0"/>
          <w:color w:val="auto"/>
          <w:kern w:val="0"/>
          <w:sz w:val="24"/>
          <w:szCs w:val="24"/>
          <w:highlight w:val="none"/>
          <w:lang w:val="en-US" w:eastAsia="zh-CN" w:bidi="ar-SA"/>
        </w:rPr>
        <w:t>3</w:t>
      </w:r>
      <w:r>
        <w:rPr>
          <w:rFonts w:hint="eastAsia" w:ascii="宋体" w:hAnsi="宋体" w:eastAsia="宋体" w:cs="Times New Roman"/>
          <w:b w:val="0"/>
          <w:bCs w:val="0"/>
          <w:color w:val="auto"/>
          <w:kern w:val="0"/>
          <w:sz w:val="24"/>
          <w:szCs w:val="24"/>
          <w:highlight w:val="none"/>
          <w:lang w:val="en-US" w:eastAsia="zh-CN" w:bidi="ar-SA"/>
        </w:rPr>
        <w:t>.3供应商须提供质量检测部门所检验的具有CMA标识的桶装水检验检测报告复印件并加盖公章予以佐证，</w:t>
      </w:r>
      <w:r>
        <w:rPr>
          <w:rFonts w:hint="eastAsia" w:ascii="宋体" w:hAnsi="宋体" w:eastAsia="宋体" w:cs="Times New Roman"/>
          <w:b w:val="0"/>
          <w:bCs w:val="0"/>
          <w:color w:val="auto"/>
          <w:kern w:val="0"/>
          <w:sz w:val="24"/>
          <w:szCs w:val="24"/>
          <w:highlight w:val="none"/>
          <w:lang w:val="zh-CN" w:eastAsia="zh-CN" w:bidi="ar-SA"/>
        </w:rPr>
        <w:t>未提供或所提供检验</w:t>
      </w:r>
      <w:r>
        <w:rPr>
          <w:rFonts w:hint="eastAsia" w:ascii="宋体" w:hAnsi="宋体" w:eastAsia="宋体" w:cs="Times New Roman"/>
          <w:b w:val="0"/>
          <w:bCs w:val="0"/>
          <w:color w:val="auto"/>
          <w:kern w:val="0"/>
          <w:sz w:val="24"/>
          <w:szCs w:val="24"/>
          <w:highlight w:val="none"/>
          <w:lang w:val="en-US" w:eastAsia="zh-CN" w:bidi="ar-SA"/>
        </w:rPr>
        <w:t>检测</w:t>
      </w:r>
      <w:r>
        <w:rPr>
          <w:rFonts w:hint="eastAsia" w:ascii="宋体" w:hAnsi="宋体" w:eastAsia="宋体" w:cs="Times New Roman"/>
          <w:b w:val="0"/>
          <w:bCs w:val="0"/>
          <w:color w:val="auto"/>
          <w:kern w:val="0"/>
          <w:sz w:val="24"/>
          <w:szCs w:val="24"/>
          <w:highlight w:val="none"/>
          <w:lang w:val="zh-CN" w:eastAsia="zh-CN" w:bidi="ar-SA"/>
        </w:rPr>
        <w:t>报告不符合要求的，视为未完全响应采购要求，为无效</w:t>
      </w:r>
      <w:r>
        <w:rPr>
          <w:rFonts w:hint="eastAsia" w:ascii="宋体" w:hAnsi="宋体" w:eastAsia="宋体" w:cs="Times New Roman"/>
          <w:b w:val="0"/>
          <w:bCs w:val="0"/>
          <w:color w:val="auto"/>
          <w:kern w:val="0"/>
          <w:sz w:val="24"/>
          <w:szCs w:val="24"/>
          <w:highlight w:val="none"/>
          <w:lang w:val="en-US" w:eastAsia="zh-CN" w:bidi="ar-SA"/>
        </w:rPr>
        <w:t>竞价</w:t>
      </w:r>
      <w:r>
        <w:rPr>
          <w:rFonts w:hint="eastAsia" w:ascii="宋体" w:hAnsi="宋体" w:eastAsia="宋体" w:cs="Times New Roman"/>
          <w:b w:val="0"/>
          <w:bCs w:val="0"/>
          <w:color w:val="auto"/>
          <w:kern w:val="0"/>
          <w:sz w:val="24"/>
          <w:szCs w:val="24"/>
          <w:highlight w:val="none"/>
          <w:lang w:val="zh-CN" w:eastAsia="zh-CN" w:bidi="ar-SA"/>
        </w:rPr>
        <w:t>。</w:t>
      </w:r>
    </w:p>
    <w:p>
      <w:pPr>
        <w:keepNext w:val="0"/>
        <w:keepLines w:val="0"/>
        <w:pageBreakBefore w:val="0"/>
        <w:kinsoku/>
        <w:overflowPunct/>
        <w:topLinePunct w:val="0"/>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b w:val="0"/>
          <w:bCs w:val="0"/>
          <w:color w:val="auto"/>
          <w:kern w:val="0"/>
          <w:sz w:val="24"/>
          <w:highlight w:val="none"/>
        </w:rPr>
      </w:pPr>
      <w:r>
        <w:rPr>
          <w:rStyle w:val="23"/>
          <w:rFonts w:hint="eastAsia" w:asciiTheme="minorEastAsia" w:hAnsiTheme="minorEastAsia" w:eastAsiaTheme="minorEastAsia" w:cstheme="minorEastAsia"/>
          <w:color w:val="auto"/>
          <w:highlight w:val="none"/>
        </w:rPr>
        <w:t>1、</w:t>
      </w:r>
      <w:r>
        <w:rPr>
          <w:rStyle w:val="23"/>
          <w:rFonts w:hint="eastAsia" w:asciiTheme="minorEastAsia" w:hAnsiTheme="minorEastAsia" w:eastAsiaTheme="minorEastAsia" w:cstheme="minorEastAsia"/>
          <w:color w:val="auto"/>
          <w:highlight w:val="none"/>
          <w:lang w:val="en-US" w:eastAsia="zh-CN"/>
        </w:rPr>
        <w:t>服务</w:t>
      </w:r>
      <w:r>
        <w:rPr>
          <w:rStyle w:val="23"/>
          <w:rFonts w:hint="eastAsia" w:asciiTheme="minorEastAsia" w:hAnsiTheme="minorEastAsia" w:eastAsiaTheme="minorEastAsia" w:cstheme="minorEastAsia"/>
          <w:color w:val="auto"/>
          <w:highlight w:val="none"/>
        </w:rPr>
        <w:t>地点：</w:t>
      </w:r>
      <w:r>
        <w:rPr>
          <w:rStyle w:val="23"/>
          <w:rFonts w:hint="eastAsia" w:asciiTheme="minorEastAsia" w:hAnsiTheme="minorEastAsia" w:eastAsiaTheme="minorEastAsia" w:cstheme="minorEastAsia"/>
          <w:b w:val="0"/>
          <w:bCs w:val="0"/>
          <w:color w:val="auto"/>
          <w:highlight w:val="none"/>
          <w:lang w:eastAsia="zh-CN"/>
        </w:rPr>
        <w:t>福建省龙岩市新罗区凤凰北路2号</w:t>
      </w:r>
      <w:r>
        <w:rPr>
          <w:rStyle w:val="23"/>
          <w:rFonts w:hint="eastAsia" w:asciiTheme="minorEastAsia" w:hAnsiTheme="minorEastAsia" w:eastAsiaTheme="minorEastAsia" w:cstheme="minorEastAsia"/>
          <w:b w:val="0"/>
          <w:bCs w:val="0"/>
          <w:color w:val="auto"/>
          <w:highlight w:val="none"/>
        </w:rPr>
        <w:t>，</w:t>
      </w:r>
      <w:r>
        <w:rPr>
          <w:rStyle w:val="23"/>
          <w:rFonts w:hint="eastAsia" w:asciiTheme="minorEastAsia" w:hAnsiTheme="minorEastAsia" w:eastAsiaTheme="minorEastAsia" w:cstheme="minorEastAsia"/>
          <w:b w:val="0"/>
          <w:bCs w:val="0"/>
          <w:color w:val="auto"/>
          <w:highlight w:val="none"/>
          <w:lang w:val="en-US" w:eastAsia="zh-CN"/>
        </w:rPr>
        <w:t>具体以</w:t>
      </w:r>
      <w:r>
        <w:rPr>
          <w:rStyle w:val="23"/>
          <w:rFonts w:hint="eastAsia" w:asciiTheme="minorEastAsia" w:hAnsiTheme="minorEastAsia" w:eastAsiaTheme="minorEastAsia" w:cstheme="minorEastAsia"/>
          <w:b w:val="0"/>
          <w:bCs w:val="0"/>
          <w:color w:val="auto"/>
          <w:highlight w:val="none"/>
        </w:rPr>
        <w:t>采购人指定地点</w:t>
      </w:r>
      <w:r>
        <w:rPr>
          <w:rStyle w:val="23"/>
          <w:rFonts w:hint="eastAsia" w:asciiTheme="minorEastAsia" w:hAnsiTheme="minorEastAsia" w:eastAsiaTheme="minorEastAsia" w:cstheme="minorEastAsia"/>
          <w:b w:val="0"/>
          <w:bCs w:val="0"/>
          <w:color w:val="auto"/>
          <w:highlight w:val="none"/>
          <w:lang w:val="en-US" w:eastAsia="zh-CN"/>
        </w:rPr>
        <w:t>为准</w:t>
      </w:r>
      <w:r>
        <w:rPr>
          <w:rStyle w:val="23"/>
          <w:rFonts w:hint="eastAsia" w:asciiTheme="minorEastAsia" w:hAnsiTheme="minorEastAsia" w:eastAsiaTheme="minorEastAsia" w:cstheme="minorEastAsia"/>
          <w:b w:val="0"/>
          <w:bCs w:val="0"/>
          <w:color w:val="auto"/>
          <w:highlight w:val="none"/>
        </w:rPr>
        <w:t>。</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color w:val="auto"/>
          <w:highlight w:val="none"/>
        </w:rPr>
        <w:t>2、</w:t>
      </w:r>
      <w:r>
        <w:rPr>
          <w:rStyle w:val="23"/>
          <w:rFonts w:hint="eastAsia" w:asciiTheme="minorEastAsia" w:hAnsiTheme="minorEastAsia" w:eastAsiaTheme="minorEastAsia" w:cstheme="minorEastAsia"/>
          <w:color w:val="auto"/>
          <w:highlight w:val="none"/>
          <w:lang w:val="en-US" w:eastAsia="zh-CN"/>
        </w:rPr>
        <w:t>服务时间</w:t>
      </w:r>
      <w:r>
        <w:rPr>
          <w:rStyle w:val="23"/>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zh-CN"/>
        </w:rPr>
        <w:t>供应商根据采购人通知的货物品种、数量、时限分批配送，必须确保采购</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lang w:val="zh-CN"/>
        </w:rPr>
        <w:t>每天24小时不间断的用水需求，做到不断供</w:t>
      </w:r>
      <w:r>
        <w:rPr>
          <w:rFonts w:hint="eastAsia" w:asciiTheme="minorEastAsia" w:hAnsiTheme="minorEastAsia" w:eastAsiaTheme="minorEastAsia" w:cstheme="minorEastAsia"/>
          <w:b w:val="0"/>
          <w:bCs w:val="0"/>
          <w:color w:val="auto"/>
          <w:highlight w:val="none"/>
        </w:rPr>
        <w:t>。</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b w:val="0"/>
          <w:bCs w:val="0"/>
          <w:color w:val="auto"/>
          <w:highlight w:val="none"/>
        </w:rPr>
      </w:pPr>
      <w:r>
        <w:rPr>
          <w:rStyle w:val="23"/>
          <w:rFonts w:hint="eastAsia" w:asciiTheme="minorEastAsia" w:hAnsiTheme="minorEastAsia" w:eastAsiaTheme="minorEastAsia" w:cstheme="minorEastAsia"/>
          <w:color w:val="auto"/>
          <w:highlight w:val="none"/>
        </w:rPr>
        <w:t>3、</w:t>
      </w:r>
      <w:r>
        <w:rPr>
          <w:rStyle w:val="23"/>
          <w:rFonts w:hint="eastAsia" w:asciiTheme="minorEastAsia" w:hAnsiTheme="minorEastAsia" w:eastAsiaTheme="minorEastAsia" w:cstheme="minorEastAsia"/>
          <w:color w:val="auto"/>
          <w:highlight w:val="none"/>
          <w:lang w:val="en-US" w:eastAsia="zh-CN"/>
        </w:rPr>
        <w:t>服务</w:t>
      </w:r>
      <w:r>
        <w:rPr>
          <w:rStyle w:val="23"/>
          <w:rFonts w:hint="eastAsia" w:asciiTheme="minorEastAsia" w:hAnsiTheme="minorEastAsia" w:eastAsiaTheme="minorEastAsia" w:cstheme="minorEastAsia"/>
          <w:color w:val="auto"/>
          <w:highlight w:val="none"/>
        </w:rPr>
        <w:t>条件：</w:t>
      </w:r>
      <w:r>
        <w:rPr>
          <w:rFonts w:hint="eastAsia" w:asciiTheme="minorEastAsia" w:hAnsiTheme="minorEastAsia" w:eastAsiaTheme="minorEastAsia" w:cstheme="minorEastAsia"/>
          <w:color w:val="auto"/>
          <w:kern w:val="0"/>
          <w:sz w:val="24"/>
          <w:szCs w:val="24"/>
          <w:highlight w:val="none"/>
          <w:lang w:val="zh-CN"/>
        </w:rPr>
        <w:t>满足采购人要求并经验收合格</w:t>
      </w:r>
      <w:r>
        <w:rPr>
          <w:rFonts w:hint="eastAsia" w:asciiTheme="minorEastAsia" w:hAnsiTheme="minorEastAsia" w:eastAsiaTheme="minorEastAsia" w:cstheme="minorEastAsia"/>
          <w:color w:val="auto"/>
          <w:kern w:val="0"/>
          <w:sz w:val="24"/>
          <w:szCs w:val="24"/>
          <w:highlight w:val="none"/>
          <w:lang w:val="zh-CN" w:eastAsia="zh-CN"/>
        </w:rPr>
        <w:t>。</w:t>
      </w:r>
    </w:p>
    <w:p>
      <w:pPr>
        <w:pStyle w:val="17"/>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auto"/>
          <w:szCs w:val="21"/>
          <w:highlight w:val="none"/>
          <w:lang w:val="en-US" w:eastAsia="zh-CN"/>
        </w:rPr>
      </w:pPr>
      <w:r>
        <w:rPr>
          <w:rStyle w:val="23"/>
          <w:rFonts w:hint="eastAsia" w:asciiTheme="minorEastAsia" w:hAnsiTheme="minorEastAsia" w:eastAsiaTheme="minorEastAsia" w:cstheme="minorEastAsia"/>
          <w:color w:val="auto"/>
          <w:highlight w:val="none"/>
        </w:rPr>
        <w:t>4、履约保证金</w:t>
      </w:r>
      <w:r>
        <w:rPr>
          <w:rStyle w:val="23"/>
          <w:rFonts w:hint="eastAsia" w:asciiTheme="minorEastAsia" w:hAnsiTheme="minorEastAsia" w:eastAsiaTheme="minorEastAsia" w:cstheme="minorEastAsia"/>
          <w:color w:val="auto"/>
          <w:highlight w:val="none"/>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highlight w:val="none"/>
        </w:rPr>
        <w:t>履约保证金百分比：</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合同金额的5%。说明：成交供应商在签订合同前以银行转账或无条件银行保函的形式向采购人缴纳合同总金额5%作为履约保证金。</w:t>
      </w:r>
      <w:r>
        <w:rPr>
          <w:rStyle w:val="23"/>
          <w:rFonts w:hint="eastAsia" w:asciiTheme="minorEastAsia" w:hAnsiTheme="minorEastAsia" w:eastAsiaTheme="minorEastAsia" w:cstheme="minorEastAsia"/>
          <w:b w:val="0"/>
          <w:bCs/>
          <w:color w:val="auto"/>
          <w:kern w:val="0"/>
          <w:sz w:val="24"/>
          <w:highlight w:val="none"/>
        </w:rPr>
        <w:t>履约保证金在合同约定全部事项履行完毕，经采购人确认双方无未了事项后，采购人在收到</w:t>
      </w:r>
      <w:r>
        <w:rPr>
          <w:rStyle w:val="23"/>
          <w:rFonts w:hint="eastAsia" w:asciiTheme="minorEastAsia" w:hAnsiTheme="minorEastAsia" w:eastAsiaTheme="minorEastAsia" w:cstheme="minorEastAsia"/>
          <w:b w:val="0"/>
          <w:bCs/>
          <w:color w:val="auto"/>
          <w:kern w:val="0"/>
          <w:sz w:val="24"/>
          <w:highlight w:val="none"/>
          <w:lang w:eastAsia="zh-CN"/>
        </w:rPr>
        <w:t>成交供应商</w:t>
      </w:r>
      <w:r>
        <w:rPr>
          <w:rStyle w:val="23"/>
          <w:rFonts w:hint="eastAsia" w:asciiTheme="minorEastAsia" w:hAnsiTheme="minorEastAsia" w:eastAsiaTheme="minorEastAsia" w:cstheme="minorEastAsia"/>
          <w:b w:val="0"/>
          <w:bCs/>
          <w:color w:val="auto"/>
          <w:kern w:val="0"/>
          <w:sz w:val="24"/>
          <w:highlight w:val="none"/>
        </w:rPr>
        <w:t>书面申请30日内无息退还</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w:t>
      </w:r>
    </w:p>
    <w:p>
      <w:pPr>
        <w:pStyle w:val="29"/>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kern w:val="0"/>
          <w:sz w:val="24"/>
          <w:szCs w:val="22"/>
          <w:highlight w:val="none"/>
        </w:rPr>
      </w:pPr>
      <w:r>
        <w:rPr>
          <w:rStyle w:val="23"/>
          <w:rFonts w:hint="eastAsia" w:asciiTheme="minorEastAsia" w:hAnsiTheme="minorEastAsia" w:eastAsiaTheme="minorEastAsia" w:cstheme="minorEastAsia"/>
          <w:color w:val="auto"/>
          <w:kern w:val="0"/>
          <w:sz w:val="24"/>
          <w:highlight w:val="none"/>
          <w:lang w:val="en-US" w:eastAsia="zh-CN"/>
        </w:rPr>
        <w:t>5、</w:t>
      </w:r>
      <w:r>
        <w:rPr>
          <w:rStyle w:val="23"/>
          <w:rFonts w:hint="eastAsia" w:asciiTheme="minorEastAsia" w:hAnsiTheme="minorEastAsia" w:eastAsiaTheme="minorEastAsia" w:cstheme="minorEastAsia"/>
          <w:color w:val="auto"/>
          <w:kern w:val="0"/>
          <w:sz w:val="24"/>
          <w:highlight w:val="none"/>
        </w:rPr>
        <w:t>合同支付方式</w:t>
      </w:r>
      <w:r>
        <w:rPr>
          <w:rStyle w:val="23"/>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bCs/>
          <w:color w:val="auto"/>
          <w:sz w:val="24"/>
          <w:szCs w:val="24"/>
          <w:highlight w:val="none"/>
          <w:lang w:val="zh-CN"/>
        </w:rPr>
        <w:t>每月</w:t>
      </w:r>
      <w:r>
        <w:rPr>
          <w:rFonts w:hint="eastAsia" w:asciiTheme="minorEastAsia" w:hAnsiTheme="minorEastAsia" w:eastAsiaTheme="minorEastAsia" w:cstheme="minorEastAsia"/>
          <w:bCs/>
          <w:color w:val="auto"/>
          <w:sz w:val="24"/>
          <w:szCs w:val="24"/>
          <w:highlight w:val="none"/>
        </w:rPr>
        <w:t>结算</w:t>
      </w:r>
      <w:r>
        <w:rPr>
          <w:rFonts w:hint="eastAsia" w:asciiTheme="minorEastAsia" w:hAnsiTheme="minorEastAsia" w:eastAsiaTheme="minorEastAsia" w:cstheme="minorEastAsia"/>
          <w:bCs/>
          <w:color w:val="auto"/>
          <w:sz w:val="24"/>
          <w:szCs w:val="24"/>
          <w:highlight w:val="none"/>
          <w:lang w:val="zh-CN"/>
        </w:rPr>
        <w:t>一次。采购人收到供应商出具的</w:t>
      </w:r>
      <w:r>
        <w:rPr>
          <w:rFonts w:hint="eastAsia" w:asciiTheme="minorEastAsia" w:hAnsiTheme="minorEastAsia" w:eastAsiaTheme="minorEastAsia" w:cstheme="minorEastAsia"/>
          <w:bCs/>
          <w:color w:val="auto"/>
          <w:sz w:val="24"/>
          <w:szCs w:val="24"/>
          <w:highlight w:val="none"/>
        </w:rPr>
        <w:t>等额税务</w:t>
      </w:r>
      <w:r>
        <w:rPr>
          <w:rFonts w:hint="eastAsia" w:asciiTheme="minorEastAsia" w:hAnsiTheme="minorEastAsia" w:eastAsiaTheme="minorEastAsia" w:cstheme="minorEastAsia"/>
          <w:bCs/>
          <w:color w:val="auto"/>
          <w:sz w:val="24"/>
          <w:szCs w:val="24"/>
          <w:highlight w:val="none"/>
          <w:lang w:val="zh-CN"/>
        </w:rPr>
        <w:t>发票、验收单及采购人财务部门要求的相关财务凭证，</w:t>
      </w:r>
      <w:r>
        <w:rPr>
          <w:rFonts w:hint="eastAsia" w:asciiTheme="minorEastAsia" w:hAnsiTheme="minorEastAsia" w:eastAsiaTheme="minorEastAsia" w:cstheme="minorEastAsia"/>
          <w:bCs/>
          <w:color w:val="auto"/>
          <w:sz w:val="24"/>
          <w:szCs w:val="24"/>
          <w:highlight w:val="none"/>
          <w:lang w:val="en-US" w:eastAsia="zh-CN"/>
        </w:rPr>
        <w:t>达到付款条件</w:t>
      </w:r>
      <w:r>
        <w:rPr>
          <w:rFonts w:hint="eastAsia" w:asciiTheme="minorEastAsia" w:hAnsiTheme="minorEastAsia" w:eastAsiaTheme="minorEastAsia" w:cstheme="minorEastAsia"/>
          <w:bCs/>
          <w:color w:val="auto"/>
          <w:sz w:val="24"/>
          <w:szCs w:val="24"/>
          <w:highlight w:val="none"/>
          <w:lang w:val="zh-CN"/>
        </w:rPr>
        <w:t>后</w:t>
      </w:r>
      <w:r>
        <w:rPr>
          <w:rFonts w:hint="eastAsia" w:asciiTheme="minorEastAsia" w:hAnsiTheme="minorEastAsia" w:eastAsiaTheme="minorEastAsia" w:cstheme="minorEastAsia"/>
          <w:bCs/>
          <w:color w:val="auto"/>
          <w:sz w:val="24"/>
          <w:szCs w:val="24"/>
          <w:highlight w:val="none"/>
          <w:lang w:val="en-US" w:eastAsia="zh-CN"/>
        </w:rPr>
        <w:t>10个工作日</w:t>
      </w:r>
      <w:r>
        <w:rPr>
          <w:rFonts w:hint="eastAsia" w:asciiTheme="minorEastAsia" w:hAnsiTheme="minorEastAsia" w:eastAsiaTheme="minorEastAsia" w:cstheme="minorEastAsia"/>
          <w:bCs/>
          <w:color w:val="auto"/>
          <w:sz w:val="24"/>
          <w:szCs w:val="24"/>
          <w:highlight w:val="none"/>
          <w:lang w:val="zh-CN"/>
        </w:rPr>
        <w:t>内通过对公转账付款</w:t>
      </w:r>
      <w:r>
        <w:rPr>
          <w:rFonts w:hint="eastAsia" w:asciiTheme="minorEastAsia" w:hAnsiTheme="minorEastAsia" w:eastAsiaTheme="minorEastAsia" w:cstheme="minorEastAsia"/>
          <w:color w:val="auto"/>
          <w:kern w:val="0"/>
          <w:sz w:val="24"/>
          <w:szCs w:val="22"/>
          <w:highlight w:val="none"/>
        </w:rPr>
        <w:t>。</w:t>
      </w:r>
    </w:p>
    <w:p>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验收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Hans"/>
        </w:rPr>
        <w:t>验收标准：根据本</w:t>
      </w:r>
      <w:r>
        <w:rPr>
          <w:rFonts w:hint="eastAsia" w:asciiTheme="minorEastAsia" w:hAnsiTheme="minorEastAsia" w:eastAsiaTheme="minorEastAsia" w:cstheme="minorEastAsia"/>
          <w:color w:val="auto"/>
          <w:kern w:val="0"/>
          <w:sz w:val="24"/>
          <w:szCs w:val="24"/>
          <w:highlight w:val="none"/>
          <w:lang w:val="en-US" w:eastAsia="zh-CN"/>
        </w:rPr>
        <w:t>竞价</w:t>
      </w:r>
      <w:r>
        <w:rPr>
          <w:rFonts w:hint="eastAsia" w:asciiTheme="minorEastAsia" w:hAnsiTheme="minorEastAsia" w:eastAsiaTheme="minorEastAsia" w:cstheme="minorEastAsia"/>
          <w:color w:val="auto"/>
          <w:kern w:val="0"/>
          <w:sz w:val="24"/>
          <w:szCs w:val="24"/>
          <w:highlight w:val="none"/>
          <w:lang w:val="en-US" w:eastAsia="zh-Hans"/>
        </w:rPr>
        <w:t>文件、</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lang w:val="en-US" w:eastAsia="zh-Hans"/>
        </w:rPr>
        <w:t>文件、承诺及有关国家、行业规定进行验收。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（2）分批次送货，货物送达指定地点后，双方按照约定的货物清单以及要求对货物的数量等进行初步清点和验收。经采购人验收确认后的货物清单作为货款结算依据</w:t>
      </w:r>
      <w:r>
        <w:rPr>
          <w:rFonts w:hint="eastAsia" w:asciiTheme="minorEastAsia" w:hAnsiTheme="minorEastAsia" w:eastAsiaTheme="minorEastAsia" w:cstheme="minorEastAsia"/>
          <w:color w:val="auto"/>
          <w:kern w:val="0"/>
          <w:sz w:val="24"/>
          <w:szCs w:val="24"/>
          <w:highlight w:val="none"/>
          <w:lang w:val="en-US" w:eastAsia="zh-Hans"/>
        </w:rPr>
        <w:t>。</w:t>
      </w:r>
    </w:p>
    <w:p>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违约责任</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供应商以明示或行为等方式拒绝履行合同的，采购人有权终止合同，没收履约保证金，造成采购人经济损失的，供应商应予赔偿</w:t>
      </w:r>
      <w:r>
        <w:rPr>
          <w:rFonts w:hint="eastAsia" w:asciiTheme="minorEastAsia" w:hAnsiTheme="minorEastAsia" w:eastAsiaTheme="minorEastAsia" w:cstheme="minorEastAsia"/>
          <w:color w:val="auto"/>
          <w:sz w:val="24"/>
          <w:szCs w:val="24"/>
          <w:highlight w:val="none"/>
          <w:lang w:val="zh-CN" w:eastAsia="zh-CN"/>
        </w:rPr>
        <w:t>。</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所供货物各项技术质量参数不符合竞价要求及投报承诺的（含全部或部分不符合），采购人有权要求供应商限期整改，供应商未限期整改或经整改后仍不符合合同约定的，采购人有权要求供应商支付合同金额10%的违约金，该违约金可以从采购人应付货款里相应抵扣；逾期整改超过10日的，供应商除了应支付合同金额10%的违约金外，采购人有权拒收，并终止合同，没收履约保证金，造成采购人经济损失的，供应商应予赔偿。供应商整改期间,采购人可另行通知他人供货，价格由采购人与其他供货人商定，所购货款从供应商货款中扣除或由供应商另行偿付</w:t>
      </w:r>
      <w:r>
        <w:rPr>
          <w:rFonts w:hint="eastAsia" w:asciiTheme="minorEastAsia" w:hAnsiTheme="minorEastAsia" w:eastAsiaTheme="minorEastAsia" w:cstheme="minorEastAsia"/>
          <w:color w:val="auto"/>
          <w:sz w:val="24"/>
          <w:szCs w:val="24"/>
          <w:highlight w:val="none"/>
          <w:lang w:val="zh-CN" w:eastAsia="zh-CN"/>
        </w:rPr>
        <w:t>。</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供应商未按</w:t>
      </w:r>
      <w:r>
        <w:rPr>
          <w:rFonts w:hint="eastAsia" w:asciiTheme="minorEastAsia" w:hAnsiTheme="minorEastAsia" w:eastAsiaTheme="minorEastAsia" w:cstheme="minorEastAsia"/>
          <w:color w:val="auto"/>
          <w:sz w:val="24"/>
          <w:szCs w:val="24"/>
          <w:highlight w:val="none"/>
          <w:lang w:val="en-US" w:eastAsia="zh-CN"/>
        </w:rPr>
        <w:t>采购文件</w:t>
      </w:r>
      <w:r>
        <w:rPr>
          <w:rFonts w:hint="eastAsia" w:asciiTheme="minorEastAsia" w:hAnsiTheme="minorEastAsia" w:eastAsiaTheme="minorEastAsia" w:cstheme="minorEastAsia"/>
          <w:color w:val="auto"/>
          <w:sz w:val="24"/>
          <w:szCs w:val="24"/>
          <w:highlight w:val="none"/>
          <w:lang w:val="zh-CN"/>
        </w:rPr>
        <w:t>要求的供货时限供货的，除经采购人视情同意延期外，每逾期一日，供应商应按合同金额的2%赔偿给采购人经济损失；逾期超过10日的，采购人除了有权要求供应商按合同金额的2%赔偿给采购人经济损失外，还有权有权拒收，并终止合同，没收履约保证金, 造成采购人经济损失的，供应商应予赔偿。逾期期间,采购人可另行通知他人供货，价格由采购人与其他供货人商定，所购货款从供应商货款中扣除或由供应商另行偿付</w:t>
      </w:r>
      <w:r>
        <w:rPr>
          <w:rFonts w:hint="eastAsia" w:asciiTheme="minorEastAsia" w:hAnsiTheme="minorEastAsia" w:eastAsiaTheme="minorEastAsia" w:cstheme="minorEastAsia"/>
          <w:color w:val="auto"/>
          <w:sz w:val="24"/>
          <w:szCs w:val="24"/>
          <w:highlight w:val="none"/>
          <w:lang w:val="zh-CN" w:eastAsia="zh-CN"/>
        </w:rPr>
        <w:t>。</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供应商必须无条件接受工商、卫生监督等行政管理部门和采购人相关职能部门对食品安全方面的监督管理、检查考核。如因投标人原因造成食物中毒等事件，经卫生检疫部门认定后，投标人不仅要承担所有医疗费用、卫生检疫部门的罚金、赔偿采购人相关经济损失，同时要承担相关法律责任；采购人有权没收全部履约保证金，终止本合同。</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在合作期间，成交供应商必须遵守采购人的各项规章制度，如有进出监区的必须提供合法证件，成交供应商运送物资进入采购人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采购人有权终止合同并没收履约保证金；若触犯法律移送司法机关处理。</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）成交供应商不得给予采购人工作人员或其他相关人员任何形式不正当利益，在</w:t>
      </w:r>
      <w:r>
        <w:rPr>
          <w:rFonts w:hint="eastAsia" w:asciiTheme="minorEastAsia" w:hAnsiTheme="minorEastAsia" w:eastAsiaTheme="minorEastAsia" w:cstheme="minorEastAsia"/>
          <w:color w:val="auto"/>
          <w:sz w:val="24"/>
          <w:szCs w:val="24"/>
          <w:highlight w:val="none"/>
          <w:lang w:val="en-US" w:eastAsia="zh-CN"/>
        </w:rPr>
        <w:t>竞价过程</w:t>
      </w:r>
      <w:r>
        <w:rPr>
          <w:rFonts w:hint="eastAsia" w:asciiTheme="minorEastAsia" w:hAnsiTheme="minorEastAsia" w:eastAsiaTheme="minorEastAsia" w:cstheme="minorEastAsia"/>
          <w:color w:val="auto"/>
          <w:sz w:val="24"/>
          <w:szCs w:val="24"/>
          <w:highlight w:val="none"/>
          <w:lang w:val="zh-CN" w:eastAsia="zh-CN"/>
        </w:rPr>
        <w:t>、合同履行过程中，发现成交供应商以违规方式成交的，或成交供应商有行贿等违法行为，一经发现的,采购人将视情予以取消成交资格,没收竞价保证金，或终止合同并没收履约保证金,并列入不诚信黑名单，今后不得参与采购人</w:t>
      </w:r>
      <w:r>
        <w:rPr>
          <w:rFonts w:hint="eastAsia" w:asciiTheme="minorEastAsia" w:hAnsiTheme="minorEastAsia" w:eastAsiaTheme="minorEastAsia" w:cstheme="minorEastAsia"/>
          <w:color w:val="auto"/>
          <w:sz w:val="24"/>
          <w:szCs w:val="24"/>
          <w:highlight w:val="none"/>
          <w:lang w:val="en-US" w:eastAsia="zh-CN"/>
        </w:rPr>
        <w:t>相关采购</w:t>
      </w:r>
      <w:r>
        <w:rPr>
          <w:rFonts w:hint="eastAsia" w:asciiTheme="minorEastAsia" w:hAnsiTheme="minorEastAsia" w:eastAsiaTheme="minorEastAsia" w:cstheme="minorEastAsia"/>
          <w:color w:val="auto"/>
          <w:sz w:val="24"/>
          <w:szCs w:val="24"/>
          <w:highlight w:val="none"/>
          <w:lang w:val="zh-CN" w:eastAsia="zh-CN"/>
        </w:rPr>
        <w:t>项目。</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eastAsia="zh-CN"/>
        </w:rPr>
        <w:t>）成交供应商要认真遵守国家保密法律、法规和采购人相关规章制度，履行保密、保守义务；其进入采购人工作区域的工作人员需签订《保密承诺书》，严格履行保密义务，所获得的采购人所有信息（包括并不限于工作信息）应严格保守，未经采购人允许不得违规记录、存储、复制国家秘密信息，不以任何方式泄露所接触和知悉的国家秘密和采购人相关信息，严禁将采购人工作文件等内部资料泄露出去，采购人根据成交供应商存在的前述违约行为（包括故意或过失）或因前述违约行为（包括故意或过失）造成采购人相关后果等实际情况，除了有权要求成交供应商承担相应法律责任外，还有权要求成交供应商偿付合同货款20%的违约金；造成采购人损失的，成交供应商还应予以赔偿。本条款不因合同届满或解除而失效。</w:t>
      </w:r>
    </w:p>
    <w:p>
      <w:pPr>
        <w:keepNext w:val="0"/>
        <w:keepLines w:val="0"/>
        <w:pageBreakBefore w:val="0"/>
        <w:tabs>
          <w:tab w:val="left" w:pos="52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供应商不得将项目转包或分包他人，否则视为违约，采购人有权单方终止合同，并没收履约保证金，造成采购人经济损失的，供应商还应予以赔偿。</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zh-CN"/>
        </w:rPr>
        <w:t>）供应商除存在本条款第1项、第2项、第3项情形并承担相应责任外，供应商未履行或未完全履行本</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val="zh-CN"/>
        </w:rPr>
        <w:t>文件其他要求的，每违约一次应向采购人支付违约金300-3000元（金额由采购人视情节、后果等情况综合认定），若因此给采购人造成损失的，供应商还应赔偿采购人所受的损失；累计超过三次的，扣除全部履约保证金，采购人有权解除合同，并不予供应商任何赔偿或补偿，造成采购人经济损失的，供应商还应予以赔偿。</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zh-CN" w:eastAsia="zh-CN"/>
        </w:rPr>
        <w:t>）上述违约责任内容与本合同中其他约定有冲突的，违约责任按就高不就低原则处理。</w:t>
      </w:r>
    </w:p>
    <w:p>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不可抗力</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因不可抗力造成违约的，遭受不可抗力一方应及时向对方通报不能履行或不能完全履行的理由，并在随后15日内向另一方提供不可抗力发生及持续期间的充分证据。基于以上行为，允许遭受不可抗力一方延期履行、部分履行或不履行合同，并根据情况可部分或全部免于承担违约责任。</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）本合同中的不可抗力指不能预见、不能避免、不能克服的客观情况，包括但不限于：自然灾害如地震、台风、洪水、火灾及政府行为、法律规定或其适用的变化或其他任何无法预见、避免或控制的事件。</w:t>
      </w:r>
    </w:p>
    <w:p>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9、合同纠纷处理方式</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eastAsia="zh-CN"/>
        </w:rPr>
        <w:t>若发生争议，由双方友好协商解决，或根据《中华人民共和国政府采购法》、《中华人民共和国合同法》及政府采购有关规定进行解决；通过前述途径仍无法解决的，可向</w:t>
      </w:r>
      <w:r>
        <w:rPr>
          <w:rFonts w:hint="eastAsia" w:asciiTheme="minorEastAsia" w:hAnsiTheme="minorEastAsia" w:eastAsiaTheme="minorEastAsia" w:cstheme="minorEastAsia"/>
          <w:color w:val="auto"/>
          <w:sz w:val="24"/>
          <w:szCs w:val="24"/>
          <w:highlight w:val="none"/>
          <w:lang w:val="en-US" w:eastAsia="zh-CN"/>
        </w:rPr>
        <w:t>龙岩仲裁委员会提请仲裁。</w:t>
      </w:r>
    </w:p>
    <w:p>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其他事项</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（1）除竞价文件另有规定外，若出现有关法律、法规和规章有强制性规定但竞价文件未列明的情形，则成交供应商应按照有关法律、法规和规章强制性规定执行。</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（2）因成交供应商未履行合同项下义务导致采购人所产生的一切损失（包括但不限于人身财产的损失、律师费、仲裁服务费、诉讼费、保全费、鉴定费等），均由成交供应商承担赔偿责任。</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（3）通知与送达：</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成交供应商确认其送达地址为：</w:t>
      </w:r>
      <w:r>
        <w:rPr>
          <w:rFonts w:hint="eastAsia" w:asciiTheme="minorEastAsia" w:hAnsiTheme="minorEastAsia" w:eastAsiaTheme="minorEastAsia" w:cstheme="minorEastAsia"/>
          <w:bCs/>
          <w:color w:val="auto"/>
          <w:kern w:val="2"/>
          <w:sz w:val="24"/>
          <w:szCs w:val="24"/>
          <w:highlight w:val="none"/>
          <w:u w:val="single"/>
          <w:lang w:val="en-US" w:eastAsia="zh-CN"/>
        </w:rPr>
        <w:t xml:space="preserve">  （说明：竞价时</w:t>
      </w:r>
      <w:r>
        <w:rPr>
          <w:rFonts w:hint="eastAsia" w:asciiTheme="minorEastAsia" w:hAnsiTheme="minorEastAsia" w:eastAsiaTheme="minorEastAsia" w:cstheme="minorEastAsia"/>
          <w:color w:val="auto"/>
          <w:sz w:val="24"/>
          <w:szCs w:val="24"/>
          <w:highlight w:val="none"/>
          <w:u w:val="single"/>
          <w:lang w:val="en-US" w:eastAsia="zh-CN"/>
        </w:rPr>
        <w:t>成交供应商</w:t>
      </w:r>
      <w:r>
        <w:rPr>
          <w:rFonts w:hint="eastAsia" w:asciiTheme="minorEastAsia" w:hAnsiTheme="minorEastAsia" w:eastAsiaTheme="minorEastAsia" w:cstheme="minorEastAsia"/>
          <w:bCs/>
          <w:color w:val="auto"/>
          <w:kern w:val="2"/>
          <w:sz w:val="24"/>
          <w:szCs w:val="24"/>
          <w:highlight w:val="none"/>
          <w:u w:val="single"/>
          <w:lang w:val="en-US" w:eastAsia="zh-CN"/>
        </w:rPr>
        <w:t>无需填写，在签订采购合同时提供即可，本条款其他空格按本说明执行）</w:t>
      </w:r>
      <w:r>
        <w:rPr>
          <w:rFonts w:hint="eastAsia" w:asciiTheme="minorEastAsia" w:hAnsiTheme="minorEastAsia" w:eastAsiaTheme="minorEastAsia" w:cstheme="minorEastAsia"/>
          <w:bCs/>
          <w:color w:val="auto"/>
          <w:kern w:val="2"/>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11、</w:t>
      </w:r>
      <w:r>
        <w:rPr>
          <w:rFonts w:hint="eastAsia" w:asciiTheme="minorEastAsia" w:hAnsiTheme="minorEastAsia" w:eastAsiaTheme="minorEastAsia" w:cstheme="minorEastAsia"/>
          <w:color w:val="auto"/>
          <w:kern w:val="0"/>
          <w:sz w:val="24"/>
          <w:szCs w:val="24"/>
          <w:highlight w:val="none"/>
          <w:lang w:val="en-US" w:eastAsia="zh-CN" w:bidi="ar"/>
        </w:rPr>
        <w:t>为保障成交供应商全面诚信参与采购项目和合同履约，成交供应商截止至本竞价公告发布之日起前三年内有下列情形之一的，不得参加本项目竞价，否则视为无效响应：</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（1）在参与采购人组织的采购项目中，存在相应采购项目出现不予退还竞价保证金情形的；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（2）在参与采购人组织的同一个采购项目中，以同一事由或类似事由质疑（含投诉）两次均不成立后仍继续质疑（投诉）的；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12、</w:t>
      </w:r>
      <w:r>
        <w:rPr>
          <w:rFonts w:hint="eastAsia" w:asciiTheme="minorEastAsia" w:hAnsiTheme="minorEastAsia" w:eastAsiaTheme="minorEastAsia" w:cstheme="minorEastAsia"/>
          <w:color w:val="auto"/>
          <w:kern w:val="0"/>
          <w:sz w:val="24"/>
          <w:szCs w:val="24"/>
          <w:highlight w:val="none"/>
          <w:lang w:val="en-US" w:eastAsia="zh-CN" w:bidi="ar"/>
        </w:rPr>
        <w:t>在本项目竞价过程中，成交供应商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（1）存在本竞价过程中不予退还竞价保证金情形的；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（2）存在本竞价过程中以同一事由或类似事由质疑（含投诉）两次均不成立后仍继续质疑（投诉）的；</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（3）存在本竞价过程中因各种违约行为被采购人没收履约保证金，或扣罚违约金或索赔赔偿金总计在10000元或以上的。</w:t>
      </w:r>
    </w:p>
    <w:p>
      <w:pPr>
        <w:spacing w:line="400" w:lineRule="exact"/>
        <w:rPr>
          <w:rFonts w:ascii="宋体" w:hAnsi="宋体"/>
          <w:b/>
          <w:color w:val="auto"/>
          <w:sz w:val="24"/>
          <w:szCs w:val="24"/>
          <w:highlight w:val="none"/>
        </w:rPr>
      </w:pPr>
    </w:p>
    <w:p>
      <w:pPr>
        <w:spacing w:line="400" w:lineRule="exact"/>
        <w:rPr>
          <w:rFonts w:ascii="宋体" w:hAnsi="宋体"/>
          <w:b/>
          <w:color w:val="auto"/>
          <w:sz w:val="24"/>
          <w:szCs w:val="24"/>
          <w:highlight w:val="none"/>
        </w:rPr>
      </w:pPr>
    </w:p>
    <w:p>
      <w:pPr>
        <w:spacing w:line="400" w:lineRule="exact"/>
        <w:rPr>
          <w:rFonts w:ascii="宋体" w:hAnsi="宋体"/>
          <w:b/>
          <w:color w:val="auto"/>
          <w:sz w:val="24"/>
          <w:szCs w:val="24"/>
          <w:highlight w:val="none"/>
        </w:rPr>
      </w:pPr>
    </w:p>
    <w:p>
      <w:pPr>
        <w:rPr>
          <w:rFonts w:hint="eastAsia" w:ascii="宋体" w:hAnsi="宋体" w:eastAsia="宋体" w:cs="宋体"/>
          <w:b/>
          <w:bCs/>
          <w:color w:val="auto"/>
          <w:sz w:val="24"/>
          <w:szCs w:val="24"/>
          <w:highlight w:val="none"/>
          <w:lang w:val="en-US" w:eastAsia="zh-CN"/>
        </w:rPr>
      </w:pPr>
      <w:bookmarkStart w:id="5" w:name="_Toc209515510"/>
      <w:bookmarkStart w:id="6" w:name="_Toc18219"/>
      <w:r>
        <w:rPr>
          <w:rFonts w:hint="eastAsia" w:ascii="宋体" w:hAnsi="宋体" w:eastAsia="宋体" w:cs="宋体"/>
          <w:b/>
          <w:bCs/>
          <w:color w:val="auto"/>
          <w:sz w:val="24"/>
          <w:szCs w:val="24"/>
          <w:highlight w:val="none"/>
          <w:lang w:val="en-US" w:eastAsia="zh-CN"/>
        </w:rPr>
        <w:br w:type="page"/>
      </w:r>
    </w:p>
    <w:p>
      <w:pPr>
        <w:pStyle w:val="6"/>
        <w:pageBreakBefore w:val="0"/>
        <w:numPr>
          <w:ilvl w:val="0"/>
          <w:numId w:val="0"/>
        </w:numPr>
        <w:kinsoku/>
        <w:wordWrap/>
        <w:overflowPunct/>
        <w:topLinePunct w:val="0"/>
        <w:autoSpaceDE/>
        <w:autoSpaceDN/>
        <w:bidi w:val="0"/>
        <w:spacing w:beforeLines="0" w:afterLines="0"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eastAsia="宋体" w:cs="宋体"/>
          <w:b/>
          <w:bCs/>
          <w:color w:val="auto"/>
          <w:sz w:val="24"/>
          <w:szCs w:val="24"/>
          <w:highlight w:val="none"/>
        </w:rPr>
        <w:t>单位保密协议</w:t>
      </w:r>
      <w:bookmarkEnd w:id="5"/>
      <w:bookmarkEnd w:id="6"/>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甲方：</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 xml:space="preserve"> </w:t>
      </w:r>
    </w:p>
    <w:p>
      <w:pPr>
        <w:widowControl/>
        <w:shd w:val="clear" w:color="auto" w:fill="FFFFFF"/>
        <w:spacing w:line="360" w:lineRule="exact"/>
        <w:ind w:firstLine="480" w:firstLineChars="200"/>
        <w:jc w:val="left"/>
        <w:rPr>
          <w:rFonts w:hint="eastAsia" w:ascii="宋体" w:hAnsi="宋体" w:eastAsia="宋体" w:cs="宋体"/>
          <w:color w:val="auto"/>
          <w:sz w:val="24"/>
          <w:szCs w:val="24"/>
          <w:highlight w:val="none"/>
        </w:rPr>
      </w:pPr>
      <w:r>
        <w:rPr>
          <w:rStyle w:val="23"/>
          <w:rFonts w:hint="eastAsia" w:ascii="宋体" w:hAnsi="宋体" w:cs="宋体"/>
          <w:b w:val="0"/>
          <w:color w:val="auto"/>
          <w:sz w:val="24"/>
          <w:szCs w:val="24"/>
          <w:highlight w:val="none"/>
          <w:lang w:val="en-US" w:eastAsia="zh-CN"/>
        </w:rPr>
        <w:t>乙方</w:t>
      </w:r>
      <w:r>
        <w:rPr>
          <w:rStyle w:val="23"/>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cs="宋体"/>
          <w:b w:val="0"/>
          <w:color w:val="auto"/>
          <w:sz w:val="24"/>
          <w:szCs w:val="24"/>
          <w:highlight w:val="none"/>
          <w:lang w:val="en-US" w:eastAsia="zh-CN"/>
        </w:rPr>
        <w:t>乙方</w:t>
      </w:r>
      <w:r>
        <w:rPr>
          <w:rStyle w:val="23"/>
          <w:rFonts w:hint="eastAsia" w:ascii="宋体" w:hAnsi="宋体" w:eastAsia="宋体" w:cs="宋体"/>
          <w:b w:val="0"/>
          <w:color w:val="auto"/>
          <w:sz w:val="24"/>
          <w:szCs w:val="24"/>
          <w:highlight w:val="none"/>
        </w:rPr>
        <w:t>与甲方进行业务接触时，知晓甲方</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rPr>
        <w:t>的文件、资料、数据、信息及存储信息各类设备、载体均具有高度保密性；甲方工作人员也充分告知</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所参与、知悉的甲方有关工作属于国家秘密的范围，</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依法负有保守国家秘密的义务，不得有任何违反《中华人民共和国保守国家秘密法》等法律法规和甲方关于保密工作规章制度要求的行为。</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双方一致同意共同履行如下保密协议：</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1.</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承诺在订立合同过程中知悉、取得甲方相关业务信息、资料（包括但不限于：软件系统，各类书面材料，电子数据，采购数据、工作部署、安排、情况等，下同）后，无论合同是否成立、履行，均不得不正当地使用或以泄露、遗失、告知、公布、发表、传授、转让等方式使任何第三者知悉、取得。</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2.在</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持有、使用甲方相关资料的法定条件消失后或</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不得持有、使用甲方相关资料的情形出现时，</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应当立即将所有资料交还甲方，不得以恢复、复制、记录、存储等方式继续持有相关资料，甲方应对</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交还资料的工作予以积极督促、配合，提供便利；</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3.</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须自觉遵守国家有关保密法律法规和甲方关于保密工作的规章制度；</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4.</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对本公司工作人员所知悉和持有的甲方资料、信息，根据实际情况采取有效的保密防范措施和教育，不留泄密隐患，在保密信息解密之前，知悉和管理信息的</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具体工作人员对涉密信息负有保密责任。</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需为</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有关人员的保密职责和侵权责任等行为负责；</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5.</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接触甲方业务工作的人员离岗、离职前，由</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对其实行脱密期保守相关秘密的教育培训，并留存脱密教育的相关工作记录；</w:t>
      </w:r>
    </w:p>
    <w:p>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Style w:val="23"/>
          <w:rFonts w:hint="eastAsia" w:ascii="宋体" w:hAnsi="宋体" w:eastAsia="宋体" w:cs="宋体"/>
          <w:b w:val="0"/>
          <w:color w:val="auto"/>
          <w:sz w:val="24"/>
          <w:szCs w:val="24"/>
          <w:highlight w:val="none"/>
        </w:rPr>
        <w:t>6.甲、乙双方工作接触终止后，</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应依国家法律规定自觉履行保密义务，甲方应对</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进行必要的保密提示和监督。</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及其工作人员在履行职责中违反上述协议的，甲方有权追究</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及其相关人员承担相应法律责任, 有权解除双方签订的所有合作协议，有权视情要求</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偿付本项目合同金额</w:t>
      </w:r>
      <w:r>
        <w:rPr>
          <w:rStyle w:val="23"/>
          <w:rFonts w:hint="eastAsia" w:ascii="宋体" w:hAnsi="宋体" w:eastAsia="宋体" w:cs="宋体"/>
          <w:b w:val="0"/>
          <w:color w:val="auto"/>
          <w:sz w:val="24"/>
          <w:szCs w:val="24"/>
          <w:highlight w:val="none"/>
          <w:lang w:val="en-US" w:eastAsia="zh-CN"/>
        </w:rPr>
        <w:t>2</w:t>
      </w:r>
      <w:r>
        <w:rPr>
          <w:rStyle w:val="23"/>
          <w:rFonts w:hint="eastAsia" w:ascii="宋体" w:hAnsi="宋体" w:eastAsia="宋体" w:cs="宋体"/>
          <w:b w:val="0"/>
          <w:color w:val="auto"/>
          <w:sz w:val="24"/>
          <w:szCs w:val="24"/>
          <w:highlight w:val="none"/>
        </w:rPr>
        <w:t>0%的违约金，造成甲方损失的，</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还应予以赔偿。</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 xml:space="preserve">甲方（签字并盖章）：                   </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（签字并盖章）：</w:t>
      </w:r>
      <w:r>
        <w:rPr>
          <w:rStyle w:val="23"/>
          <w:rFonts w:hint="eastAsia" w:ascii="宋体" w:hAnsi="宋体" w:eastAsia="宋体" w:cs="宋体"/>
          <w:b w:val="0"/>
          <w:color w:val="auto"/>
          <w:sz w:val="24"/>
          <w:szCs w:val="24"/>
          <w:highlight w:val="none"/>
          <w:u w:val="none" w:color="auto"/>
        </w:rPr>
        <w:t xml:space="preserve">           </w:t>
      </w:r>
    </w:p>
    <w:p>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p>
    <w:p>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 xml:space="preserve">        年</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月</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日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年</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月</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日</w:t>
      </w:r>
    </w:p>
    <w:p>
      <w:pPr>
        <w:pStyle w:val="6"/>
        <w:pageBreakBefore w:val="0"/>
        <w:numPr>
          <w:ilvl w:val="0"/>
          <w:numId w:val="0"/>
        </w:numPr>
        <w:kinsoku/>
        <w:wordWrap/>
        <w:overflowPunct/>
        <w:topLinePunct w:val="0"/>
        <w:autoSpaceDE/>
        <w:autoSpaceDN/>
        <w:bidi w:val="0"/>
        <w:spacing w:beforeLines="0" w:afterLines="0" w:line="440" w:lineRule="exact"/>
        <w:ind w:leftChars="0"/>
        <w:jc w:val="both"/>
        <w:textAlignment w:val="auto"/>
        <w:rPr>
          <w:rFonts w:hint="eastAsia" w:ascii="宋体" w:hAnsi="宋体" w:eastAsia="宋体" w:cs="宋体"/>
          <w:color w:val="auto"/>
          <w:sz w:val="24"/>
          <w:szCs w:val="24"/>
          <w:highlight w:val="none"/>
        </w:rPr>
      </w:pPr>
      <w:bookmarkStart w:id="7" w:name="_Toc944"/>
      <w:bookmarkStart w:id="8" w:name="_Toc209515511"/>
      <w:r>
        <w:rPr>
          <w:rFonts w:hint="eastAsia" w:ascii="宋体" w:hAnsi="宋体" w:eastAsia="宋体" w:cs="宋体"/>
          <w:color w:val="auto"/>
          <w:sz w:val="24"/>
          <w:szCs w:val="24"/>
          <w:highlight w:val="none"/>
          <w:lang w:val="en-US" w:eastAsia="zh-CN"/>
        </w:rPr>
        <w:t xml:space="preserve">附件2:                              </w:t>
      </w:r>
      <w:r>
        <w:rPr>
          <w:rFonts w:hint="eastAsia" w:ascii="宋体" w:hAnsi="宋体" w:eastAsia="宋体" w:cs="宋体"/>
          <w:color w:val="auto"/>
          <w:sz w:val="24"/>
          <w:szCs w:val="24"/>
          <w:highlight w:val="none"/>
        </w:rPr>
        <w:t>保密承诺书</w:t>
      </w:r>
      <w:bookmarkEnd w:id="7"/>
      <w:bookmarkEnd w:id="8"/>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本人所属或授权代理的公司与</w:t>
      </w:r>
      <w:r>
        <w:rPr>
          <w:rStyle w:val="23"/>
          <w:rFonts w:hint="eastAsia" w:ascii="宋体" w:hAnsi="宋体" w:eastAsia="宋体" w:cs="宋体"/>
          <w:b w:val="0"/>
          <w:color w:val="auto"/>
          <w:sz w:val="24"/>
          <w:szCs w:val="24"/>
          <w:highlight w:val="none"/>
          <w:lang w:val="en-US" w:eastAsia="zh-CN"/>
        </w:rPr>
        <w:t>甲方</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正在履行相关采购合同,在办理合同相关事务中，本人了解有关保密法规制度，知悉应当承担的保密义务和法律责任</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3"/>
          <w:rFonts w:hint="eastAsia" w:ascii="宋体" w:hAnsi="宋体" w:eastAsia="宋体" w:cs="宋体"/>
          <w:b w:val="0"/>
          <w:color w:val="auto"/>
          <w:sz w:val="24"/>
          <w:szCs w:val="24"/>
          <w:highlight w:val="none"/>
        </w:rPr>
        <w:t>本人郑重承诺：</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一、认真遵守国家保密法律、法规和</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相关规章制度，履行保密义务；</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二、不提供虚假个人信息，自愿接受保密审查；</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三、不违规记录、存储、复制国家秘密信息，不违规留存国家秘密载体，不违规将</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工作文件等内部资料泄露出去；</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四、不以任何方式泄露所接触和知悉的国家秘密和</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相关信息（包括但不限于工作信息）；</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五、未经</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审查批准，不擅自发表涉及未公开工作内容的文章、著述；</w:t>
      </w:r>
    </w:p>
    <w:p>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违反上述承诺，除了我所属或代理的公司按合同约定承担相关责任外，我自愿承担有关法律后果，自愿向</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支付本人违反上述保密承诺的违约金</w:t>
      </w:r>
      <w:r>
        <w:rPr>
          <w:rStyle w:val="23"/>
          <w:rFonts w:hint="eastAsia" w:ascii="宋体" w:hAnsi="宋体" w:eastAsia="宋体" w:cs="宋体"/>
          <w:b w:val="0"/>
          <w:color w:val="auto"/>
          <w:sz w:val="24"/>
          <w:szCs w:val="24"/>
          <w:highlight w:val="none"/>
          <w:lang w:val="en-US" w:eastAsia="zh-CN"/>
        </w:rPr>
        <w:t>2</w:t>
      </w:r>
      <w:r>
        <w:rPr>
          <w:rStyle w:val="23"/>
          <w:rFonts w:hint="eastAsia" w:ascii="宋体" w:hAnsi="宋体" w:eastAsia="宋体" w:cs="宋体"/>
          <w:b w:val="0"/>
          <w:color w:val="auto"/>
          <w:sz w:val="24"/>
          <w:szCs w:val="24"/>
          <w:highlight w:val="none"/>
        </w:rPr>
        <w:t>0000元。</w:t>
      </w:r>
    </w:p>
    <w:p>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p>
    <w:p>
      <w:pPr>
        <w:pageBreakBefore w:val="0"/>
        <w:kinsoku/>
        <w:wordWrap/>
        <w:overflowPunct/>
        <w:topLinePunct w:val="0"/>
        <w:autoSpaceDE/>
        <w:autoSpaceDN/>
        <w:bidi w:val="0"/>
        <w:spacing w:line="440" w:lineRule="exact"/>
        <w:ind w:firstLine="4560" w:firstLineChars="1900"/>
        <w:textAlignment w:val="auto"/>
        <w:rPr>
          <w:rStyle w:val="23"/>
          <w:rFonts w:hint="eastAsia" w:ascii="宋体" w:hAnsi="宋体" w:eastAsia="宋体" w:cs="宋体"/>
          <w:b w:val="0"/>
          <w:color w:val="auto"/>
          <w:sz w:val="24"/>
          <w:szCs w:val="24"/>
          <w:highlight w:val="none"/>
          <w:u w:val="single"/>
          <w:lang w:val="en-US" w:eastAsia="zh-CN"/>
        </w:rPr>
      </w:pPr>
      <w:r>
        <w:rPr>
          <w:rStyle w:val="23"/>
          <w:rFonts w:hint="eastAsia" w:ascii="宋体" w:hAnsi="宋体" w:eastAsia="宋体" w:cs="宋体"/>
          <w:b w:val="0"/>
          <w:color w:val="auto"/>
          <w:sz w:val="24"/>
          <w:szCs w:val="24"/>
          <w:highlight w:val="none"/>
        </w:rPr>
        <w:t>承诺人签名：</w:t>
      </w:r>
    </w:p>
    <w:p>
      <w:pPr>
        <w:rPr>
          <w:color w:val="auto"/>
          <w:highlight w:val="none"/>
        </w:rPr>
      </w:pP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年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月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日</w:t>
      </w:r>
    </w:p>
    <w:p>
      <w:pPr>
        <w:pStyle w:val="29"/>
        <w:spacing w:line="360" w:lineRule="auto"/>
        <w:jc w:val="both"/>
        <w:outlineLvl w:val="1"/>
        <w:rPr>
          <w:rFonts w:hint="default" w:ascii="宋体" w:hAnsi="宋体" w:cs="宋体"/>
          <w:b/>
          <w:bCs w:val="0"/>
          <w:color w:val="auto"/>
          <w:sz w:val="24"/>
          <w:szCs w:val="24"/>
          <w:highlight w:val="none"/>
        </w:rPr>
      </w:pPr>
    </w:p>
    <w:p>
      <w:pPr>
        <w:rPr>
          <w:rFonts w:ascii="宋体" w:hAnsi="宋体" w:cs="宋体"/>
          <w:b/>
          <w:color w:val="auto"/>
          <w:sz w:val="28"/>
          <w:szCs w:val="28"/>
          <w:highlight w:val="none"/>
        </w:rPr>
      </w:pPr>
      <w:r>
        <w:rPr>
          <w:rFonts w:ascii="宋体" w:hAnsi="宋体" w:cs="宋体"/>
          <w:b/>
          <w:color w:val="auto"/>
          <w:sz w:val="28"/>
          <w:szCs w:val="28"/>
          <w:highlight w:val="none"/>
        </w:rPr>
        <w:br w:type="page"/>
      </w:r>
    </w:p>
    <w:bookmarkEnd w:id="1"/>
    <w:bookmarkEnd w:id="2"/>
    <w:bookmarkEnd w:id="3"/>
    <w:bookmarkEnd w:id="4"/>
    <w:p>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pPr>
        <w:pStyle w:val="19"/>
        <w:ind w:firstLine="0" w:firstLineChars="0"/>
        <w:rPr>
          <w:rFonts w:ascii="宋体" w:hAnsi="宋体" w:cs="宋体"/>
          <w:color w:val="auto"/>
          <w:highlight w:val="none"/>
        </w:rPr>
      </w:pPr>
    </w:p>
    <w:p>
      <w:pPr>
        <w:pStyle w:val="2"/>
        <w:rPr>
          <w:rFonts w:ascii="宋体" w:hAnsi="宋体" w:cs="宋体"/>
          <w:color w:val="auto"/>
          <w:highlight w:val="none"/>
        </w:rPr>
      </w:pPr>
    </w:p>
    <w:p>
      <w:pPr>
        <w:pStyle w:val="2"/>
        <w:jc w:val="center"/>
        <w:rPr>
          <w:rFonts w:ascii="宋体" w:hAnsi="宋体" w:cs="宋体"/>
          <w:color w:val="auto"/>
          <w:sz w:val="30"/>
          <w:szCs w:val="30"/>
          <w:highlight w:val="none"/>
        </w:rPr>
      </w:pPr>
      <w:r>
        <w:rPr>
          <w:rFonts w:hint="eastAsia" w:ascii="宋体" w:hAnsi="宋体" w:cs="宋体"/>
          <w:color w:val="auto"/>
          <w:sz w:val="30"/>
          <w:szCs w:val="30"/>
          <w:highlight w:val="none"/>
          <w:lang w:eastAsia="zh-CN"/>
        </w:rPr>
        <w:t>按照福建省监狱系统采购合同范本编制</w:t>
      </w:r>
    </w:p>
    <w:p>
      <w:pPr>
        <w:rPr>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jc w:val="center"/>
        <w:rPr>
          <w:rFonts w:ascii="宋体" w:hAnsi="宋体" w:cs="宋体"/>
          <w:b/>
          <w:color w:val="auto"/>
          <w:sz w:val="36"/>
          <w:highlight w:val="none"/>
        </w:rPr>
      </w:pPr>
    </w:p>
    <w:p>
      <w:pPr>
        <w:pStyle w:val="2"/>
        <w:rPr>
          <w:rFonts w:ascii="宋体" w:hAnsi="宋体" w:cs="宋体"/>
          <w:color w:val="auto"/>
          <w:sz w:val="24"/>
          <w:highlight w:val="none"/>
        </w:rPr>
      </w:pPr>
    </w:p>
    <w:p>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pPr>
        <w:pStyle w:val="10"/>
        <w:spacing w:line="360" w:lineRule="auto"/>
        <w:rPr>
          <w:rFonts w:ascii="宋体" w:hAnsi="宋体" w:cs="宋体"/>
          <w:b/>
          <w:color w:val="auto"/>
          <w:kern w:val="0"/>
          <w:sz w:val="24"/>
          <w:highlight w:val="none"/>
        </w:rPr>
      </w:pPr>
    </w:p>
    <w:p>
      <w:pPr>
        <w:adjustRightInd w:val="0"/>
        <w:snapToGrid w:val="0"/>
        <w:spacing w:line="560" w:lineRule="exact"/>
        <w:rPr>
          <w:rFonts w:ascii="宋体" w:hAnsi="宋体" w:cs="宋体"/>
          <w:color w:val="auto"/>
          <w:sz w:val="24"/>
          <w:highlight w:val="none"/>
        </w:rPr>
      </w:pPr>
    </w:p>
    <w:p>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7"/>
        <w:rPr>
          <w:rFonts w:hint="default" w:cs="宋体"/>
          <w:color w:val="auto"/>
          <w:highlight w:val="none"/>
        </w:rPr>
      </w:pPr>
    </w:p>
    <w:p>
      <w:pPr>
        <w:rPr>
          <w:rFonts w:ascii="宋体" w:hAnsi="宋体" w:cs="宋体"/>
          <w:color w:val="auto"/>
          <w:highlight w:val="none"/>
        </w:rPr>
      </w:pPr>
    </w:p>
    <w:p>
      <w:pPr>
        <w:pStyle w:val="7"/>
        <w:rPr>
          <w:rFonts w:hint="default" w:cs="宋体"/>
          <w:color w:val="auto"/>
          <w:highlight w:val="none"/>
        </w:rPr>
      </w:pPr>
    </w:p>
    <w:p>
      <w:pPr>
        <w:rPr>
          <w:rFonts w:ascii="宋体" w:hAnsi="宋体" w:cs="宋体"/>
          <w:color w:val="auto"/>
          <w:highlight w:val="none"/>
        </w:rPr>
      </w:pPr>
    </w:p>
    <w:p>
      <w:pPr>
        <w:pStyle w:val="7"/>
        <w:rPr>
          <w:rFonts w:hint="default"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9"/>
        <w:ind w:firstLine="210"/>
        <w:rPr>
          <w:rFonts w:ascii="宋体" w:hAnsi="宋体" w:cs="宋体"/>
          <w:color w:val="auto"/>
          <w:highlight w:val="none"/>
        </w:rPr>
      </w:pPr>
    </w:p>
    <w:p>
      <w:pPr>
        <w:pStyle w:val="9"/>
        <w:rPr>
          <w:rFonts w:ascii="宋体" w:hAnsi="宋体" w:cs="宋体"/>
          <w:color w:val="auto"/>
          <w:highlight w:val="none"/>
        </w:rPr>
      </w:pPr>
    </w:p>
    <w:p>
      <w:pPr>
        <w:pStyle w:val="3"/>
        <w:rPr>
          <w:rFonts w:ascii="宋体" w:hAnsi="宋体" w:cs="宋体"/>
          <w:color w:val="auto"/>
          <w:highlight w:val="none"/>
        </w:rPr>
      </w:pPr>
    </w:p>
    <w:p>
      <w:pPr>
        <w:pStyle w:val="9"/>
        <w:rPr>
          <w:rFonts w:ascii="宋体" w:hAnsi="宋体" w:cs="宋体"/>
          <w:color w:val="auto"/>
          <w:highlight w:val="none"/>
        </w:rPr>
      </w:pPr>
    </w:p>
    <w:p>
      <w:pPr>
        <w:spacing w:line="1000" w:lineRule="exact"/>
        <w:jc w:val="center"/>
        <w:rPr>
          <w:rFonts w:ascii="宋体" w:hAnsi="宋体" w:eastAsia="宋体" w:cs="宋体"/>
          <w:color w:val="auto"/>
          <w:sz w:val="96"/>
          <w:szCs w:val="96"/>
          <w:highlight w:val="none"/>
        </w:rPr>
      </w:pPr>
    </w:p>
    <w:p>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pPr>
        <w:pStyle w:val="25"/>
        <w:spacing w:after="120" w:line="500" w:lineRule="exact"/>
        <w:outlineLvl w:val="9"/>
        <w:rPr>
          <w:rStyle w:val="26"/>
          <w:rFonts w:ascii="宋体" w:hAnsi="宋体" w:cs="宋体"/>
          <w:b/>
          <w:bCs/>
          <w:color w:val="auto"/>
          <w:sz w:val="44"/>
          <w:szCs w:val="44"/>
          <w:highlight w:val="none"/>
        </w:rPr>
      </w:pPr>
    </w:p>
    <w:p>
      <w:pPr>
        <w:pStyle w:val="25"/>
        <w:spacing w:after="120" w:line="500" w:lineRule="exact"/>
        <w:jc w:val="center"/>
        <w:outlineLvl w:val="9"/>
        <w:rPr>
          <w:rStyle w:val="26"/>
          <w:rFonts w:ascii="宋体" w:hAnsi="宋体" w:cs="宋体"/>
          <w:b/>
          <w:bCs/>
          <w:color w:val="auto"/>
          <w:sz w:val="44"/>
          <w:szCs w:val="44"/>
          <w:highlight w:val="none"/>
        </w:rPr>
      </w:pPr>
      <w:r>
        <w:rPr>
          <w:rStyle w:val="26"/>
          <w:rFonts w:hint="eastAsia" w:hAnsi="宋体" w:cs="宋体"/>
          <w:b/>
          <w:bCs/>
          <w:color w:val="auto"/>
          <w:sz w:val="44"/>
          <w:szCs w:val="44"/>
          <w:highlight w:val="none"/>
        </w:rPr>
        <w:t>（第一部分</w:t>
      </w:r>
      <w:r>
        <w:rPr>
          <w:rStyle w:val="26"/>
          <w:rFonts w:hAnsi="宋体" w:cs="宋体"/>
          <w:b/>
          <w:bCs/>
          <w:color w:val="auto"/>
          <w:sz w:val="44"/>
          <w:szCs w:val="44"/>
          <w:highlight w:val="none"/>
        </w:rPr>
        <w:t xml:space="preserve">  </w:t>
      </w:r>
      <w:r>
        <w:rPr>
          <w:rStyle w:val="26"/>
          <w:rFonts w:hint="eastAsia" w:hAnsi="宋体" w:cs="宋体"/>
          <w:b/>
          <w:bCs/>
          <w:color w:val="auto"/>
          <w:sz w:val="44"/>
          <w:szCs w:val="44"/>
          <w:highlight w:val="none"/>
        </w:rPr>
        <w:t>资格及技术商务部分）</w:t>
      </w:r>
    </w:p>
    <w:p>
      <w:pPr>
        <w:spacing w:line="1000" w:lineRule="exact"/>
        <w:ind w:firstLine="1920" w:firstLineChars="200"/>
        <w:jc w:val="left"/>
        <w:rPr>
          <w:rFonts w:ascii="宋体" w:hAnsi="宋体" w:cs="宋体"/>
          <w:color w:val="auto"/>
          <w:sz w:val="96"/>
          <w:szCs w:val="96"/>
          <w:highlight w:val="none"/>
        </w:rPr>
      </w:pPr>
    </w:p>
    <w:p>
      <w:pPr>
        <w:spacing w:line="1000" w:lineRule="exact"/>
        <w:ind w:firstLine="1920" w:firstLineChars="200"/>
        <w:jc w:val="left"/>
        <w:rPr>
          <w:rFonts w:ascii="宋体" w:hAnsi="宋体" w:cs="宋体"/>
          <w:color w:val="auto"/>
          <w:sz w:val="96"/>
          <w:szCs w:val="96"/>
          <w:highlight w:val="none"/>
        </w:rPr>
      </w:pPr>
    </w:p>
    <w:p>
      <w:pPr>
        <w:pStyle w:val="6"/>
        <w:rPr>
          <w:rFonts w:cs="宋体"/>
          <w:color w:val="auto"/>
          <w:highlight w:val="none"/>
        </w:rPr>
      </w:pPr>
    </w:p>
    <w:p>
      <w:pPr>
        <w:spacing w:line="1000" w:lineRule="exact"/>
        <w:ind w:firstLine="1920" w:firstLineChars="200"/>
        <w:jc w:val="left"/>
        <w:rPr>
          <w:rFonts w:ascii="宋体" w:hAnsi="宋体" w:cs="宋体"/>
          <w:color w:val="auto"/>
          <w:sz w:val="96"/>
          <w:szCs w:val="96"/>
          <w:highlight w:val="none"/>
        </w:rPr>
      </w:pPr>
    </w:p>
    <w:p>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pPr>
        <w:pStyle w:val="12"/>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pPr>
        <w:pStyle w:val="6"/>
        <w:rPr>
          <w:rFonts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9"/>
        <w:ind w:firstLine="210"/>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19"/>
        <w:ind w:firstLine="210"/>
        <w:rPr>
          <w:rFonts w:ascii="宋体" w:hAnsi="宋体" w:cs="宋体"/>
          <w:color w:val="auto"/>
          <w:highlight w:val="none"/>
        </w:rPr>
      </w:pPr>
    </w:p>
    <w:p>
      <w:pPr>
        <w:pStyle w:val="3"/>
        <w:rPr>
          <w:rFonts w:ascii="宋体" w:hAnsi="宋体" w:cs="宋体"/>
          <w:color w:val="auto"/>
          <w:highlight w:val="none"/>
        </w:rPr>
      </w:pPr>
    </w:p>
    <w:p>
      <w:pPr>
        <w:pStyle w:val="25"/>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pPr>
        <w:pStyle w:val="25"/>
        <w:spacing w:after="120" w:line="500" w:lineRule="exact"/>
        <w:outlineLvl w:val="9"/>
        <w:rPr>
          <w:rFonts w:hAnsi="宋体" w:cs="宋体"/>
          <w:b/>
          <w:color w:val="auto"/>
          <w:sz w:val="36"/>
          <w:highlight w:val="none"/>
        </w:rPr>
      </w:pPr>
    </w:p>
    <w:p>
      <w:pPr>
        <w:pStyle w:val="25"/>
        <w:spacing w:line="480" w:lineRule="auto"/>
        <w:rPr>
          <w:rFonts w:hAnsi="宋体" w:cs="宋体"/>
          <w:bCs/>
          <w:color w:val="auto"/>
          <w:sz w:val="24"/>
          <w:highlight w:val="none"/>
        </w:rPr>
      </w:pPr>
      <w:r>
        <w:rPr>
          <w:rFonts w:hAnsi="宋体" w:cs="宋体"/>
          <w:bCs/>
          <w:color w:val="auto"/>
          <w:kern w:val="0"/>
          <w:sz w:val="24"/>
          <w:highlight w:val="none"/>
        </w:rPr>
        <w:t>1、网上竞价承诺书</w:t>
      </w:r>
    </w:p>
    <w:p>
      <w:pPr>
        <w:pStyle w:val="25"/>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pPr>
        <w:pStyle w:val="25"/>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pPr>
        <w:pStyle w:val="25"/>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pPr>
        <w:pStyle w:val="25"/>
        <w:spacing w:line="360" w:lineRule="auto"/>
        <w:outlineLvl w:val="9"/>
        <w:rPr>
          <w:rFonts w:hAnsi="宋体" w:cs="宋体"/>
          <w:bCs/>
          <w:color w:val="auto"/>
          <w:sz w:val="24"/>
          <w:highlight w:val="none"/>
        </w:rPr>
      </w:pPr>
    </w:p>
    <w:p>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pPr>
        <w:widowControl/>
        <w:shd w:val="clear" w:color="auto" w:fill="FFFFFF"/>
        <w:spacing w:line="420" w:lineRule="exact"/>
        <w:rPr>
          <w:rFonts w:ascii="宋体" w:hAnsi="宋体" w:cs="宋体"/>
          <w:b/>
          <w:color w:val="auto"/>
          <w:kern w:val="0"/>
          <w:sz w:val="28"/>
          <w:szCs w:val="28"/>
          <w:highlight w:val="none"/>
          <w:shd w:val="clear" w:color="auto" w:fill="FFFFFF"/>
        </w:rPr>
      </w:pP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福建省闽西监狱</w:t>
      </w:r>
    </w:p>
    <w:p>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8"/>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8"/>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八、我公司承诺未被列入福建省监狱管理局及其下属单位黑名单</w:t>
      </w:r>
      <w:r>
        <w:rPr>
          <w:rFonts w:hint="eastAsia" w:ascii="宋体" w:hAnsi="宋体" w:cs="宋体"/>
          <w:color w:val="auto"/>
          <w:sz w:val="24"/>
          <w:highlight w:val="none"/>
          <w:lang w:eastAsia="zh-CN"/>
        </w:rPr>
        <w:t>。</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color w:val="auto"/>
          <w:kern w:val="0"/>
          <w:sz w:val="24"/>
          <w:highlight w:val="none"/>
          <w:shd w:val="clear" w:color="auto" w:fill="FFFFFF"/>
        </w:rPr>
      </w:pP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8"/>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pPr>
        <w:pStyle w:val="25"/>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pPr>
        <w:pStyle w:val="25"/>
        <w:spacing w:line="360" w:lineRule="auto"/>
        <w:jc w:val="center"/>
        <w:outlineLvl w:val="9"/>
        <w:rPr>
          <w:rFonts w:hAnsi="宋体" w:cs="宋体"/>
          <w:b/>
          <w:color w:val="auto"/>
          <w:szCs w:val="28"/>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pPr>
        <w:pStyle w:val="25"/>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cs="宋体"/>
          <w:bCs/>
          <w:color w:val="auto"/>
          <w:highlight w:val="none"/>
          <w:u w:val="single"/>
          <w:lang w:val="zh-CN"/>
        </w:rPr>
        <w:t>福建省闽西监狱</w:t>
      </w:r>
    </w:p>
    <w:p>
      <w:pPr>
        <w:pStyle w:val="17"/>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7"/>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pPr>
        <w:pStyle w:val="17"/>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授权方</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接受授权方</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pPr>
        <w:pStyle w:val="17"/>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pPr>
              <w:pStyle w:val="17"/>
              <w:spacing w:before="0" w:beforeAutospacing="0" w:after="0" w:afterAutospacing="0" w:line="420" w:lineRule="exact"/>
              <w:jc w:val="center"/>
              <w:rPr>
                <w:color w:val="auto"/>
                <w:highlight w:val="none"/>
              </w:rPr>
            </w:pPr>
            <w:r>
              <w:rPr>
                <w:rStyle w:val="23"/>
                <w:rFonts w:hint="eastAsia"/>
                <w:color w:val="auto"/>
                <w:highlight w:val="none"/>
              </w:rPr>
              <w:t> </w:t>
            </w:r>
          </w:p>
          <w:p>
            <w:pPr>
              <w:pStyle w:val="17"/>
              <w:spacing w:before="0" w:beforeAutospacing="0" w:after="0" w:afterAutospacing="0" w:line="420" w:lineRule="exact"/>
              <w:jc w:val="center"/>
              <w:rPr>
                <w:color w:val="auto"/>
                <w:highlight w:val="none"/>
              </w:rPr>
            </w:pPr>
            <w:r>
              <w:rPr>
                <w:rStyle w:val="23"/>
                <w:rFonts w:hint="eastAsia"/>
                <w:color w:val="auto"/>
                <w:highlight w:val="none"/>
              </w:rPr>
              <w:t>要求：真实有效且内容完整、清晰、整洁。</w:t>
            </w:r>
          </w:p>
          <w:p>
            <w:pPr>
              <w:pStyle w:val="17"/>
              <w:spacing w:before="0" w:beforeAutospacing="0" w:after="0" w:afterAutospacing="0" w:line="420" w:lineRule="exact"/>
              <w:jc w:val="center"/>
              <w:rPr>
                <w:color w:val="auto"/>
                <w:highlight w:val="none"/>
              </w:rPr>
            </w:pPr>
            <w:r>
              <w:rPr>
                <w:rStyle w:val="23"/>
                <w:rFonts w:hint="eastAsia"/>
                <w:color w:val="auto"/>
                <w:highlight w:val="none"/>
              </w:rPr>
              <w:t> </w:t>
            </w:r>
          </w:p>
        </w:tc>
      </w:tr>
    </w:tbl>
    <w:p>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pPr>
        <w:spacing w:line="360" w:lineRule="auto"/>
        <w:jc w:val="center"/>
        <w:outlineLvl w:val="2"/>
        <w:rPr>
          <w:rFonts w:ascii="宋体" w:hAnsi="宋体" w:cs="宋体"/>
          <w:b/>
          <w:color w:val="auto"/>
          <w:sz w:val="32"/>
          <w:szCs w:val="22"/>
          <w:highlight w:val="none"/>
        </w:rPr>
      </w:pPr>
    </w:p>
    <w:p>
      <w:pPr>
        <w:spacing w:line="360" w:lineRule="auto"/>
        <w:jc w:val="center"/>
        <w:outlineLvl w:val="2"/>
        <w:rPr>
          <w:rFonts w:ascii="宋体" w:hAnsi="宋体" w:cs="宋体"/>
          <w:b/>
          <w:bCs w:val="0"/>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w:t>
      </w:r>
    </w:p>
    <w:p>
      <w:pPr>
        <w:pStyle w:val="2"/>
        <w:rPr>
          <w:color w:val="auto"/>
          <w:highlight w:val="none"/>
        </w:rPr>
      </w:pPr>
      <w:r>
        <w:rPr>
          <w:rFonts w:hint="eastAsia"/>
          <w:color w:val="auto"/>
          <w:highlight w:val="none"/>
          <w:lang w:val="en-US" w:eastAsia="zh-CN"/>
        </w:rPr>
        <w:t>供应商须提供有效的《食品经营许可证》或《仅销售预包装食品经营者备案信息采集表》或《食品生产许可证》，须提供相关证件复印件并加盖供应商公章。在竞价截止时间前，如因国家政策调整，国家有关行政部门有新的食品经营销售方面规定的，应从其规定，但供应商须在响应文件中做出书面说明并附上有关制度规定予以佐证。</w:t>
      </w:r>
    </w:p>
    <w:p>
      <w:pPr>
        <w:spacing w:line="360" w:lineRule="auto"/>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32"/>
          <w:szCs w:val="22"/>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cs="宋体"/>
          <w:b/>
          <w:color w:val="auto"/>
          <w:sz w:val="28"/>
          <w:szCs w:val="28"/>
          <w:highlight w:val="none"/>
        </w:rPr>
      </w:pPr>
    </w:p>
    <w:p>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pPr>
        <w:pStyle w:val="29"/>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pPr>
        <w:pStyle w:val="29"/>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20"/>
        <w:tblW w:w="508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0"/>
        <w:gridCol w:w="988"/>
        <w:gridCol w:w="1325"/>
        <w:gridCol w:w="937"/>
        <w:gridCol w:w="1850"/>
        <w:gridCol w:w="1200"/>
        <w:gridCol w:w="1465"/>
        <w:gridCol w:w="1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30" w:type="dxa"/>
          </w:tcPr>
          <w:p>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988" w:type="dxa"/>
            <w:vAlign w:val="center"/>
          </w:tcPr>
          <w:p>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325" w:type="dxa"/>
          </w:tcPr>
          <w:p>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名称</w:t>
            </w:r>
          </w:p>
        </w:tc>
        <w:tc>
          <w:tcPr>
            <w:tcW w:w="937" w:type="dxa"/>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单位</w:t>
            </w:r>
          </w:p>
        </w:tc>
        <w:tc>
          <w:tcPr>
            <w:tcW w:w="1850" w:type="dxa"/>
            <w:vAlign w:val="center"/>
          </w:tcPr>
          <w:p>
            <w:pPr>
              <w:widowControl/>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品牌</w:t>
            </w:r>
            <w:r>
              <w:rPr>
                <w:rFonts w:hint="eastAsia" w:ascii="宋体" w:hAnsi="宋体" w:cs="宋体"/>
                <w:bCs/>
                <w:color w:val="auto"/>
                <w:kern w:val="2"/>
                <w:sz w:val="24"/>
                <w:szCs w:val="24"/>
                <w:highlight w:val="none"/>
                <w:lang w:val="en-US" w:eastAsia="zh-CN" w:bidi="ar-SA"/>
              </w:rPr>
              <w:t>/</w:t>
            </w:r>
            <w:r>
              <w:rPr>
                <w:rFonts w:hint="eastAsia" w:ascii="宋体" w:hAnsi="宋体" w:cs="宋体"/>
                <w:color w:val="auto"/>
                <w:kern w:val="0"/>
                <w:sz w:val="24"/>
                <w:szCs w:val="24"/>
                <w:highlight w:val="none"/>
                <w:lang w:val="en-US" w:eastAsia="zh-CN"/>
              </w:rPr>
              <w:t>注册商标</w:t>
            </w:r>
          </w:p>
        </w:tc>
        <w:tc>
          <w:tcPr>
            <w:tcW w:w="1200" w:type="dxa"/>
          </w:tcPr>
          <w:p>
            <w:pPr>
              <w:pStyle w:val="29"/>
              <w:widowControl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规格</w:t>
            </w:r>
          </w:p>
        </w:tc>
        <w:tc>
          <w:tcPr>
            <w:tcW w:w="1465" w:type="dxa"/>
          </w:tcPr>
          <w:p>
            <w:pPr>
              <w:pStyle w:val="29"/>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型号</w:t>
            </w:r>
          </w:p>
        </w:tc>
        <w:tc>
          <w:tcPr>
            <w:tcW w:w="1342" w:type="dxa"/>
          </w:tcPr>
          <w:p>
            <w:pPr>
              <w:pStyle w:val="29"/>
              <w:widowControl w:val="0"/>
              <w:spacing w:line="360" w:lineRule="auto"/>
              <w:jc w:val="center"/>
              <w:rPr>
                <w:rFonts w:ascii="宋体" w:hAnsi="宋体" w:cs="宋体"/>
                <w:b w:val="0"/>
                <w:bCs w:val="0"/>
                <w:color w:val="auto"/>
                <w:sz w:val="24"/>
                <w:szCs w:val="24"/>
                <w:highlight w:val="none"/>
              </w:rPr>
            </w:pPr>
            <w:r>
              <w:rPr>
                <w:rFonts w:hint="eastAsia" w:ascii="宋体" w:hAnsi="宋体" w:cs="宋体"/>
                <w:bCs/>
                <w:color w:val="auto"/>
                <w:kern w:val="2"/>
                <w:sz w:val="24"/>
                <w:szCs w:val="24"/>
                <w:highlight w:val="none"/>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30" w:type="dxa"/>
            <w:vMerge w:val="restart"/>
            <w:vAlign w:val="center"/>
          </w:tcPr>
          <w:p>
            <w:pPr>
              <w:pStyle w:val="29"/>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98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325"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桶装水</w:t>
            </w:r>
          </w:p>
        </w:tc>
        <w:tc>
          <w:tcPr>
            <w:tcW w:w="937"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w:t>
            </w:r>
          </w:p>
        </w:tc>
        <w:tc>
          <w:tcPr>
            <w:tcW w:w="1850" w:type="dxa"/>
            <w:vAlign w:val="center"/>
          </w:tcPr>
          <w:p>
            <w:pPr>
              <w:widowControl/>
              <w:jc w:val="center"/>
              <w:textAlignment w:val="center"/>
              <w:rPr>
                <w:rFonts w:ascii="宋体" w:hAnsi="宋体" w:cs="宋体"/>
                <w:color w:val="auto"/>
                <w:sz w:val="24"/>
                <w:highlight w:val="none"/>
              </w:rPr>
            </w:pPr>
          </w:p>
        </w:tc>
        <w:tc>
          <w:tcPr>
            <w:tcW w:w="1200" w:type="dxa"/>
          </w:tcPr>
          <w:p>
            <w:pPr>
              <w:spacing w:line="360" w:lineRule="auto"/>
              <w:rPr>
                <w:rFonts w:ascii="宋体" w:hAnsi="宋体" w:cs="宋体"/>
                <w:color w:val="auto"/>
                <w:sz w:val="24"/>
                <w:highlight w:val="none"/>
              </w:rPr>
            </w:pPr>
          </w:p>
        </w:tc>
        <w:tc>
          <w:tcPr>
            <w:tcW w:w="1465" w:type="dxa"/>
          </w:tcPr>
          <w:p>
            <w:pPr>
              <w:spacing w:line="360" w:lineRule="auto"/>
              <w:rPr>
                <w:rFonts w:ascii="宋体" w:hAnsi="宋体" w:cs="宋体"/>
                <w:color w:val="auto"/>
                <w:sz w:val="24"/>
                <w:highlight w:val="none"/>
              </w:rPr>
            </w:pPr>
          </w:p>
        </w:tc>
        <w:tc>
          <w:tcPr>
            <w:tcW w:w="1342" w:type="dxa"/>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30" w:type="dxa"/>
            <w:vMerge w:val="continue"/>
          </w:tcPr>
          <w:p>
            <w:pPr>
              <w:pStyle w:val="29"/>
              <w:widowControl w:val="0"/>
              <w:spacing w:line="360" w:lineRule="auto"/>
              <w:jc w:val="both"/>
              <w:rPr>
                <w:rFonts w:hint="default" w:ascii="宋体" w:hAnsi="宋体" w:cs="宋体"/>
                <w:b w:val="0"/>
                <w:bCs w:val="0"/>
                <w:color w:val="auto"/>
                <w:sz w:val="24"/>
                <w:szCs w:val="24"/>
                <w:highlight w:val="none"/>
              </w:rPr>
            </w:pPr>
          </w:p>
        </w:tc>
        <w:tc>
          <w:tcPr>
            <w:tcW w:w="98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1325"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937"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c>
          <w:tcPr>
            <w:tcW w:w="1850" w:type="dxa"/>
            <w:vAlign w:val="center"/>
          </w:tcPr>
          <w:p>
            <w:pPr>
              <w:widowControl/>
              <w:jc w:val="center"/>
              <w:textAlignment w:val="center"/>
              <w:rPr>
                <w:rFonts w:ascii="宋体" w:hAnsi="宋体" w:cs="宋体"/>
                <w:color w:val="auto"/>
                <w:sz w:val="24"/>
                <w:highlight w:val="none"/>
              </w:rPr>
            </w:pPr>
          </w:p>
        </w:tc>
        <w:tc>
          <w:tcPr>
            <w:tcW w:w="1200" w:type="dxa"/>
          </w:tcPr>
          <w:p>
            <w:pPr>
              <w:spacing w:line="360" w:lineRule="auto"/>
              <w:rPr>
                <w:rFonts w:ascii="宋体" w:hAnsi="宋体" w:cs="宋体"/>
                <w:color w:val="auto"/>
                <w:sz w:val="24"/>
                <w:highlight w:val="none"/>
              </w:rPr>
            </w:pPr>
          </w:p>
        </w:tc>
        <w:tc>
          <w:tcPr>
            <w:tcW w:w="1465" w:type="dxa"/>
          </w:tcPr>
          <w:p>
            <w:pPr>
              <w:spacing w:line="360" w:lineRule="auto"/>
              <w:rPr>
                <w:rFonts w:ascii="宋体" w:hAnsi="宋体" w:cs="宋体"/>
                <w:color w:val="auto"/>
                <w:sz w:val="24"/>
                <w:highlight w:val="none"/>
              </w:rPr>
            </w:pPr>
          </w:p>
        </w:tc>
        <w:tc>
          <w:tcPr>
            <w:tcW w:w="1342" w:type="dxa"/>
          </w:tcPr>
          <w:p>
            <w:pPr>
              <w:spacing w:line="360" w:lineRule="auto"/>
              <w:rPr>
                <w:rFonts w:ascii="宋体" w:hAnsi="宋体"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jc w:val="center"/>
        </w:trPr>
        <w:tc>
          <w:tcPr>
            <w:tcW w:w="1030" w:type="dxa"/>
            <w:vMerge w:val="continue"/>
          </w:tcPr>
          <w:p>
            <w:pPr>
              <w:pStyle w:val="29"/>
              <w:widowControl w:val="0"/>
              <w:spacing w:line="360" w:lineRule="auto"/>
              <w:jc w:val="both"/>
              <w:rPr>
                <w:rFonts w:hint="default" w:ascii="宋体" w:hAnsi="宋体" w:cs="宋体"/>
                <w:b w:val="0"/>
                <w:bCs w:val="0"/>
                <w:color w:val="auto"/>
                <w:sz w:val="24"/>
                <w:szCs w:val="24"/>
                <w:highlight w:val="none"/>
              </w:rPr>
            </w:pPr>
          </w:p>
        </w:tc>
        <w:tc>
          <w:tcPr>
            <w:tcW w:w="98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325"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937"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c>
          <w:tcPr>
            <w:tcW w:w="1850" w:type="dxa"/>
            <w:vAlign w:val="center"/>
          </w:tcPr>
          <w:p>
            <w:pPr>
              <w:widowControl/>
              <w:jc w:val="center"/>
              <w:textAlignment w:val="center"/>
              <w:rPr>
                <w:rFonts w:ascii="宋体" w:hAnsi="宋体" w:cs="宋体"/>
                <w:color w:val="auto"/>
                <w:sz w:val="24"/>
                <w:highlight w:val="none"/>
              </w:rPr>
            </w:pPr>
          </w:p>
        </w:tc>
        <w:tc>
          <w:tcPr>
            <w:tcW w:w="1200" w:type="dxa"/>
          </w:tcPr>
          <w:p>
            <w:pPr>
              <w:spacing w:line="360" w:lineRule="auto"/>
              <w:rPr>
                <w:rFonts w:ascii="宋体" w:hAnsi="宋体" w:cs="宋体"/>
                <w:color w:val="auto"/>
                <w:sz w:val="24"/>
                <w:highlight w:val="none"/>
              </w:rPr>
            </w:pPr>
          </w:p>
        </w:tc>
        <w:tc>
          <w:tcPr>
            <w:tcW w:w="1465" w:type="dxa"/>
          </w:tcPr>
          <w:p>
            <w:pPr>
              <w:spacing w:line="360" w:lineRule="auto"/>
              <w:rPr>
                <w:rFonts w:ascii="宋体" w:hAnsi="宋体" w:cs="宋体"/>
                <w:color w:val="auto"/>
                <w:sz w:val="24"/>
                <w:highlight w:val="none"/>
              </w:rPr>
            </w:pPr>
          </w:p>
        </w:tc>
        <w:tc>
          <w:tcPr>
            <w:tcW w:w="1342" w:type="dxa"/>
          </w:tcPr>
          <w:p>
            <w:pPr>
              <w:spacing w:line="360" w:lineRule="auto"/>
              <w:rPr>
                <w:rFonts w:ascii="宋体" w:hAnsi="宋体" w:cs="宋体"/>
                <w:color w:val="auto"/>
                <w:sz w:val="24"/>
                <w:highlight w:val="none"/>
              </w:rPr>
            </w:pPr>
          </w:p>
        </w:tc>
      </w:tr>
    </w:tbl>
    <w:p>
      <w:pPr>
        <w:pStyle w:val="29"/>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pPr>
        <w:pStyle w:val="29"/>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pPr>
        <w:pStyle w:val="29"/>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w:t>
      </w:r>
      <w:r>
        <w:rPr>
          <w:rFonts w:hint="eastAsia" w:ascii="宋体" w:hAnsi="宋体" w:cs="宋体"/>
          <w:b w:val="0"/>
          <w:bCs w:val="0"/>
          <w:color w:val="auto"/>
          <w:sz w:val="24"/>
          <w:szCs w:val="24"/>
          <w:highlight w:val="none"/>
          <w:lang w:eastAsia="zh-CN"/>
        </w:rPr>
        <w:t>及</w:t>
      </w:r>
      <w:r>
        <w:rPr>
          <w:rFonts w:hint="default" w:ascii="宋体" w:hAnsi="宋体" w:cs="宋体"/>
          <w:b w:val="0"/>
          <w:bCs w:val="0"/>
          <w:color w:val="auto"/>
          <w:sz w:val="24"/>
          <w:szCs w:val="24"/>
          <w:highlight w:val="none"/>
        </w:rPr>
        <w:t>“名称”应与第三章《采购标的一览表》中的有关内容（“采购包”、“品目号”及“名称”）保持一致。</w:t>
      </w:r>
    </w:p>
    <w:p>
      <w:pPr>
        <w:pStyle w:val="29"/>
        <w:spacing w:line="360" w:lineRule="auto"/>
        <w:ind w:firstLine="480"/>
        <w:jc w:val="both"/>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9"/>
        <w:spacing w:line="360" w:lineRule="auto"/>
        <w:ind w:firstLine="480"/>
        <w:jc w:val="right"/>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u w:val="single"/>
        </w:rPr>
        <w:br w:type="page"/>
      </w:r>
    </w:p>
    <w:p>
      <w:pPr>
        <w:pStyle w:val="4"/>
        <w:rPr>
          <w:rFonts w:ascii="宋体" w:hAnsi="宋体" w:cs="宋体"/>
          <w:color w:val="auto"/>
          <w:sz w:val="24"/>
          <w:highlight w:val="none"/>
        </w:rPr>
      </w:pPr>
    </w:p>
    <w:p>
      <w:pPr>
        <w:pStyle w:val="4"/>
        <w:rPr>
          <w:rFonts w:ascii="宋体" w:hAnsi="宋体" w:cs="宋体"/>
          <w:color w:val="auto"/>
          <w:sz w:val="24"/>
          <w:highlight w:val="none"/>
        </w:rPr>
      </w:pPr>
    </w:p>
    <w:p>
      <w:pPr>
        <w:pStyle w:val="4"/>
        <w:numPr>
          <w:ilvl w:val="0"/>
          <w:numId w:val="2"/>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pPr>
        <w:pStyle w:val="4"/>
        <w:rPr>
          <w:rFonts w:ascii="宋体" w:hAnsi="宋体" w:cs="宋体"/>
          <w:b/>
          <w:bCs/>
          <w:color w:val="auto"/>
          <w:sz w:val="28"/>
          <w:szCs w:val="28"/>
          <w:highlight w:val="none"/>
        </w:rPr>
      </w:pPr>
    </w:p>
    <w:p>
      <w:pPr>
        <w:pStyle w:val="17"/>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20"/>
        <w:tblW w:w="4995" w:type="pct"/>
        <w:tblInd w:w="0" w:type="dxa"/>
        <w:tblLayout w:type="fixed"/>
        <w:tblCellMar>
          <w:top w:w="0" w:type="dxa"/>
          <w:left w:w="0" w:type="dxa"/>
          <w:bottom w:w="0" w:type="dxa"/>
          <w:right w:w="0" w:type="dxa"/>
        </w:tblCellMar>
      </w:tblPr>
      <w:tblGrid>
        <w:gridCol w:w="960"/>
        <w:gridCol w:w="3641"/>
        <w:gridCol w:w="3332"/>
        <w:gridCol w:w="2043"/>
      </w:tblGrid>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r>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r>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7"/>
              <w:wordWrap w:val="0"/>
              <w:spacing w:before="0" w:beforeAutospacing="0" w:after="0" w:afterAutospacing="0" w:line="480" w:lineRule="atLeast"/>
              <w:jc w:val="center"/>
              <w:rPr>
                <w:color w:val="auto"/>
                <w:highlight w:val="none"/>
              </w:rPr>
            </w:pPr>
          </w:p>
        </w:tc>
      </w:tr>
    </w:tbl>
    <w:p>
      <w:pPr>
        <w:pStyle w:val="17"/>
        <w:spacing w:before="0" w:beforeAutospacing="0" w:after="0" w:afterAutospacing="0" w:line="360" w:lineRule="auto"/>
        <w:rPr>
          <w:b/>
          <w:bCs/>
          <w:color w:val="auto"/>
          <w:highlight w:val="none"/>
        </w:rPr>
      </w:pPr>
      <w:r>
        <w:rPr>
          <w:rFonts w:hint="eastAsia"/>
          <w:b/>
          <w:bCs/>
          <w:color w:val="auto"/>
          <w:highlight w:val="none"/>
        </w:rPr>
        <w:t>注：</w:t>
      </w:r>
    </w:p>
    <w:p>
      <w:pPr>
        <w:pStyle w:val="17"/>
        <w:numPr>
          <w:ilvl w:val="0"/>
          <w:numId w:val="3"/>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val="en-US" w:eastAsia="zh-CN"/>
        </w:rPr>
        <w:t>竞价</w:t>
      </w:r>
      <w:r>
        <w:rPr>
          <w:rFonts w:hint="eastAsia"/>
          <w:b/>
          <w:bCs/>
          <w:color w:val="auto"/>
          <w:highlight w:val="none"/>
        </w:rPr>
        <w:t>保证金（如果未签订合同）将不予退还，给采购人和采购代理机构造成损失的，还必须进行赔偿并负相关责任。</w:t>
      </w: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3"/>
        <w:spacing w:line="360" w:lineRule="auto"/>
        <w:ind w:left="0" w:leftChars="0"/>
        <w:rPr>
          <w:rFonts w:ascii="宋体" w:hAnsi="宋体" w:cs="宋体"/>
          <w:color w:val="auto"/>
          <w:sz w:val="24"/>
          <w:highlight w:val="none"/>
        </w:rPr>
      </w:pPr>
    </w:p>
    <w:p>
      <w:pPr>
        <w:pStyle w:val="4"/>
        <w:rPr>
          <w:rFonts w:ascii="宋体" w:hAnsi="宋体" w:cs="宋体"/>
          <w:color w:val="auto"/>
          <w:sz w:val="24"/>
          <w:highlight w:val="none"/>
        </w:rPr>
      </w:pPr>
    </w:p>
    <w:p>
      <w:pPr>
        <w:pStyle w:val="4"/>
        <w:rPr>
          <w:rFonts w:ascii="宋体" w:hAnsi="宋体" w:cs="宋体"/>
          <w:color w:val="auto"/>
          <w:sz w:val="24"/>
          <w:highlight w:val="none"/>
        </w:rPr>
      </w:pPr>
    </w:p>
    <w:p>
      <w:pPr>
        <w:pStyle w:val="3"/>
        <w:spacing w:line="360" w:lineRule="auto"/>
        <w:ind w:left="0" w:leftChars="0"/>
        <w:rPr>
          <w:rFonts w:ascii="宋体" w:hAnsi="宋体" w:cs="宋体"/>
          <w:b/>
          <w:bCs/>
          <w:color w:val="auto"/>
          <w:sz w:val="28"/>
          <w:szCs w:val="28"/>
          <w:highlight w:val="none"/>
        </w:rPr>
      </w:pPr>
    </w:p>
    <w:p>
      <w:pPr>
        <w:pStyle w:val="3"/>
        <w:spacing w:line="360" w:lineRule="auto"/>
        <w:ind w:left="0" w:leftChars="0"/>
        <w:rPr>
          <w:rFonts w:ascii="宋体" w:hAnsi="宋体" w:cs="宋体"/>
          <w:b/>
          <w:bCs/>
          <w:color w:val="auto"/>
          <w:sz w:val="28"/>
          <w:szCs w:val="28"/>
          <w:highlight w:val="none"/>
        </w:rPr>
      </w:pPr>
    </w:p>
    <w:p>
      <w:pPr>
        <w:pStyle w:val="3"/>
        <w:spacing w:line="360" w:lineRule="auto"/>
        <w:ind w:left="0" w:leftChars="0"/>
        <w:rPr>
          <w:rFonts w:ascii="宋体" w:hAnsi="宋体" w:cs="宋体"/>
          <w:b/>
          <w:bCs/>
          <w:color w:val="auto"/>
          <w:sz w:val="28"/>
          <w:szCs w:val="28"/>
          <w:highlight w:val="none"/>
        </w:rPr>
      </w:pPr>
    </w:p>
    <w:p>
      <w:pPr>
        <w:pStyle w:val="3"/>
        <w:spacing w:line="360" w:lineRule="auto"/>
        <w:ind w:left="0" w:leftChars="0"/>
        <w:rPr>
          <w:rFonts w:ascii="宋体" w:hAnsi="宋体" w:cs="宋体"/>
          <w:b/>
          <w:bCs/>
          <w:color w:val="auto"/>
          <w:sz w:val="28"/>
          <w:szCs w:val="28"/>
          <w:highlight w:val="none"/>
        </w:rPr>
      </w:pPr>
    </w:p>
    <w:p>
      <w:pPr>
        <w:pStyle w:val="3"/>
        <w:spacing w:line="360" w:lineRule="auto"/>
        <w:ind w:left="0" w:leftChars="0"/>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pPr>
        <w:pStyle w:val="3"/>
        <w:spacing w:line="360" w:lineRule="auto"/>
        <w:ind w:left="0" w:leftChars="0"/>
        <w:rPr>
          <w:rFonts w:ascii="宋体" w:hAnsi="宋体" w:cs="宋体"/>
          <w:b/>
          <w:bCs/>
          <w:color w:val="auto"/>
          <w:sz w:val="28"/>
          <w:szCs w:val="28"/>
          <w:highlight w:val="none"/>
        </w:rPr>
      </w:pPr>
    </w:p>
    <w:p>
      <w:pPr>
        <w:pStyle w:val="4"/>
        <w:rPr>
          <w:rFonts w:ascii="宋体" w:hAnsi="宋体" w:cs="宋体"/>
          <w:b/>
          <w:bCs/>
          <w:color w:val="auto"/>
          <w:sz w:val="28"/>
          <w:szCs w:val="28"/>
          <w:highlight w:val="none"/>
        </w:rPr>
      </w:pPr>
    </w:p>
    <w:p>
      <w:pPr>
        <w:pStyle w:val="4"/>
        <w:rPr>
          <w:rFonts w:ascii="宋体" w:hAnsi="宋体" w:cs="宋体"/>
          <w:b/>
          <w:bCs/>
          <w:color w:val="auto"/>
          <w:sz w:val="28"/>
          <w:szCs w:val="28"/>
          <w:highlight w:val="none"/>
        </w:rPr>
      </w:pPr>
    </w:p>
    <w:p>
      <w:pPr>
        <w:pStyle w:val="3"/>
        <w:spacing w:line="360" w:lineRule="auto"/>
        <w:ind w:left="0" w:leftChars="0"/>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pPr>
        <w:pStyle w:val="4"/>
        <w:rPr>
          <w:rFonts w:ascii="宋体" w:hAnsi="宋体" w:cs="宋体"/>
          <w:b/>
          <w:bCs/>
          <w:color w:val="auto"/>
          <w:sz w:val="28"/>
          <w:szCs w:val="28"/>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4"/>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4"/>
          <w:highlight w:val="none"/>
        </w:rPr>
      </w:pPr>
    </w:p>
    <w:p>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pPr>
        <w:pStyle w:val="3"/>
        <w:spacing w:line="360" w:lineRule="auto"/>
        <w:ind w:left="0" w:leftChars="0"/>
        <w:jc w:val="both"/>
        <w:rPr>
          <w:rFonts w:ascii="宋体" w:hAnsi="宋体" w:cs="宋体"/>
          <w:b/>
          <w:bCs/>
          <w:color w:val="auto"/>
          <w:sz w:val="28"/>
          <w:szCs w:val="28"/>
          <w:highlight w:val="none"/>
        </w:rPr>
      </w:pPr>
    </w:p>
    <w:p>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pPr>
        <w:pStyle w:val="29"/>
        <w:spacing w:line="360" w:lineRule="auto"/>
        <w:jc w:val="both"/>
        <w:rPr>
          <w:rFonts w:hint="default" w:asciiTheme="minorEastAsia" w:hAnsiTheme="minorEastAsia" w:eastAsiaTheme="minorEastAsia" w:cstheme="minorEastAsia"/>
          <w:b/>
          <w:bCs/>
          <w:color w:val="auto"/>
          <w:sz w:val="24"/>
          <w:szCs w:val="24"/>
          <w:highlight w:val="none"/>
        </w:rPr>
      </w:pPr>
    </w:p>
    <w:p>
      <w:pPr>
        <w:pStyle w:val="29"/>
        <w:spacing w:line="360" w:lineRule="auto"/>
        <w:ind w:firstLine="480"/>
        <w:jc w:val="center"/>
        <w:rPr>
          <w:rFonts w:hint="default" w:asciiTheme="minorEastAsia" w:hAnsiTheme="minorEastAsia" w:eastAsiaTheme="minorEastAsia" w:cstheme="minorEastAsia"/>
          <w:b/>
          <w:bCs/>
          <w:color w:val="auto"/>
          <w:sz w:val="24"/>
          <w:szCs w:val="24"/>
          <w:highlight w:val="none"/>
          <w:lang w:val="en-US" w:eastAsia="zh-CN"/>
        </w:rPr>
      </w:pPr>
      <w:r>
        <w:rPr>
          <w:rFonts w:hint="default" w:asciiTheme="minorEastAsia" w:hAnsiTheme="minorEastAsia" w:eastAsiaTheme="minorEastAsia" w:cstheme="minorEastAsia"/>
          <w:b/>
          <w:bCs/>
          <w:color w:val="auto"/>
          <w:sz w:val="24"/>
          <w:szCs w:val="24"/>
          <w:highlight w:val="none"/>
        </w:rPr>
        <w:t>①</w:t>
      </w:r>
      <w:r>
        <w:rPr>
          <w:rFonts w:hint="eastAsia" w:asciiTheme="minorEastAsia" w:hAnsiTheme="minorEastAsia" w:eastAsiaTheme="minorEastAsia" w:cstheme="minorEastAsia"/>
          <w:b/>
          <w:bCs/>
          <w:color w:val="auto"/>
          <w:sz w:val="24"/>
          <w:szCs w:val="24"/>
          <w:highlight w:val="none"/>
          <w:lang w:val="en-US" w:eastAsia="zh-CN"/>
        </w:rPr>
        <w:t>桶装水检测报告复印件</w:t>
      </w: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4"/>
        <w:rPr>
          <w:rFonts w:ascii="宋体" w:hAnsi="宋体" w:cs="宋体"/>
          <w:b/>
          <w:bCs/>
          <w:color w:val="auto"/>
          <w:sz w:val="28"/>
          <w:szCs w:val="28"/>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pPr>
        <w:pStyle w:val="9"/>
        <w:rPr>
          <w:rFonts w:ascii="宋体" w:hAnsi="宋体" w:eastAsia="宋体" w:cs="宋体"/>
          <w:b/>
          <w:color w:val="auto"/>
          <w:sz w:val="24"/>
          <w:szCs w:val="24"/>
          <w:highlight w:val="none"/>
        </w:rPr>
      </w:pPr>
    </w:p>
    <w:p>
      <w:pPr>
        <w:pStyle w:val="3"/>
        <w:rPr>
          <w:rFonts w:ascii="宋体" w:hAnsi="宋体" w:eastAsia="宋体" w:cs="宋体"/>
          <w:b/>
          <w:color w:val="auto"/>
          <w:sz w:val="24"/>
          <w:highlight w:val="none"/>
        </w:rPr>
      </w:pPr>
    </w:p>
    <w:p>
      <w:pPr>
        <w:pStyle w:val="9"/>
        <w:rPr>
          <w:rFonts w:ascii="宋体" w:hAnsi="宋体" w:eastAsia="宋体" w:cs="宋体"/>
          <w:b/>
          <w:color w:val="auto"/>
          <w:sz w:val="24"/>
          <w:szCs w:val="24"/>
          <w:highlight w:val="none"/>
        </w:rPr>
      </w:pPr>
    </w:p>
    <w:p>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pPr>
        <w:pStyle w:val="4"/>
        <w:rPr>
          <w:rFonts w:ascii="宋体" w:hAnsi="宋体" w:cs="宋体"/>
          <w:b/>
          <w:bCs/>
          <w:color w:val="auto"/>
          <w:sz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pPr>
        <w:pStyle w:val="3"/>
        <w:rPr>
          <w:rFonts w:ascii="宋体" w:hAnsi="宋体" w:eastAsia="宋体" w:cs="宋体"/>
          <w:b/>
          <w:color w:val="auto"/>
          <w:sz w:val="44"/>
          <w:szCs w:val="44"/>
          <w:highlight w:val="none"/>
        </w:rPr>
      </w:pPr>
    </w:p>
    <w:p>
      <w:pPr>
        <w:pStyle w:val="9"/>
        <w:rPr>
          <w:rFonts w:ascii="宋体" w:hAnsi="宋体" w:eastAsia="宋体" w:cs="宋体"/>
          <w:b/>
          <w:color w:val="auto"/>
          <w:sz w:val="44"/>
          <w:szCs w:val="44"/>
          <w:highlight w:val="none"/>
        </w:rPr>
      </w:pPr>
    </w:p>
    <w:p>
      <w:pPr>
        <w:pStyle w:val="3"/>
        <w:rPr>
          <w:rFonts w:ascii="宋体" w:hAnsi="宋体" w:eastAsia="宋体" w:cs="宋体"/>
          <w:b/>
          <w:color w:val="auto"/>
          <w:sz w:val="44"/>
          <w:szCs w:val="44"/>
          <w:highlight w:val="none"/>
        </w:rPr>
      </w:pPr>
    </w:p>
    <w:p>
      <w:pPr>
        <w:pStyle w:val="9"/>
        <w:rPr>
          <w:rFonts w:ascii="宋体" w:hAnsi="宋体" w:eastAsia="宋体" w:cs="宋体"/>
          <w:b/>
          <w:color w:val="auto"/>
          <w:sz w:val="44"/>
          <w:szCs w:val="44"/>
          <w:highlight w:val="none"/>
        </w:rPr>
      </w:pPr>
    </w:p>
    <w:p>
      <w:pPr>
        <w:pStyle w:val="3"/>
        <w:rPr>
          <w:rFonts w:ascii="宋体" w:hAnsi="宋体" w:eastAsia="宋体" w:cs="宋体"/>
          <w:b/>
          <w:color w:val="auto"/>
          <w:sz w:val="44"/>
          <w:szCs w:val="44"/>
          <w:highlight w:val="none"/>
        </w:rPr>
      </w:pPr>
    </w:p>
    <w:p>
      <w:pPr>
        <w:pStyle w:val="9"/>
        <w:rPr>
          <w:rFonts w:ascii="宋体" w:hAnsi="宋体" w:cs="宋体"/>
          <w:color w:val="auto"/>
          <w:highlight w:val="none"/>
        </w:rPr>
      </w:pPr>
    </w:p>
    <w:p>
      <w:pPr>
        <w:pStyle w:val="3"/>
        <w:rPr>
          <w:rFonts w:ascii="宋体" w:hAnsi="宋体" w:eastAsia="宋体" w:cs="宋体"/>
          <w:b/>
          <w:color w:val="auto"/>
          <w:sz w:val="44"/>
          <w:szCs w:val="44"/>
          <w:highlight w:val="none"/>
        </w:rPr>
      </w:pPr>
    </w:p>
    <w:p>
      <w:pPr>
        <w:pStyle w:val="9"/>
        <w:rPr>
          <w:rFonts w:ascii="宋体" w:hAnsi="宋体" w:eastAsia="宋体" w:cs="宋体"/>
          <w:b/>
          <w:color w:val="auto"/>
          <w:sz w:val="44"/>
          <w:szCs w:val="44"/>
          <w:highlight w:val="none"/>
        </w:rPr>
      </w:pPr>
    </w:p>
    <w:p>
      <w:pPr>
        <w:pStyle w:val="3"/>
        <w:rPr>
          <w:rFonts w:ascii="宋体" w:hAnsi="宋体" w:eastAsia="宋体" w:cs="宋体"/>
          <w:b/>
          <w:color w:val="auto"/>
          <w:sz w:val="44"/>
          <w:szCs w:val="44"/>
          <w:highlight w:val="none"/>
        </w:rPr>
      </w:pPr>
    </w:p>
    <w:p>
      <w:pPr>
        <w:pStyle w:val="9"/>
        <w:rPr>
          <w:rFonts w:ascii="宋体" w:hAnsi="宋体" w:eastAsia="宋体" w:cs="宋体"/>
          <w:b/>
          <w:color w:val="auto"/>
          <w:sz w:val="44"/>
          <w:szCs w:val="44"/>
          <w:highlight w:val="none"/>
        </w:rPr>
      </w:pPr>
    </w:p>
    <w:p>
      <w:pPr>
        <w:pStyle w:val="3"/>
        <w:ind w:left="0" w:leftChars="0"/>
        <w:rPr>
          <w:rFonts w:ascii="宋体" w:hAnsi="宋体" w:eastAsia="宋体" w:cs="宋体"/>
          <w:b/>
          <w:color w:val="auto"/>
          <w:sz w:val="44"/>
          <w:szCs w:val="44"/>
          <w:highlight w:val="none"/>
        </w:rPr>
      </w:pPr>
    </w:p>
    <w:p>
      <w:pPr>
        <w:pStyle w:val="4"/>
        <w:rPr>
          <w:rFonts w:ascii="宋体" w:hAnsi="宋体" w:eastAsia="宋体" w:cs="宋体"/>
          <w:b/>
          <w:color w:val="auto"/>
          <w:sz w:val="44"/>
          <w:szCs w:val="44"/>
          <w:highlight w:val="none"/>
        </w:rPr>
      </w:pPr>
    </w:p>
    <w:p>
      <w:pPr>
        <w:pStyle w:val="4"/>
        <w:rPr>
          <w:rFonts w:ascii="宋体" w:hAnsi="宋体" w:eastAsia="宋体" w:cs="宋体"/>
          <w:b/>
          <w:color w:val="auto"/>
          <w:sz w:val="44"/>
          <w:szCs w:val="44"/>
          <w:highlight w:val="none"/>
        </w:rPr>
      </w:pPr>
    </w:p>
    <w:p>
      <w:pPr>
        <w:spacing w:line="1000" w:lineRule="exact"/>
        <w:jc w:val="center"/>
        <w:rPr>
          <w:rFonts w:ascii="宋体" w:hAnsi="宋体" w:eastAsia="宋体" w:cs="宋体"/>
          <w:color w:val="auto"/>
          <w:sz w:val="96"/>
          <w:szCs w:val="96"/>
          <w:highlight w:val="none"/>
        </w:rPr>
      </w:pPr>
    </w:p>
    <w:p>
      <w:pPr>
        <w:spacing w:line="1000" w:lineRule="exact"/>
        <w:jc w:val="center"/>
        <w:rPr>
          <w:rFonts w:ascii="宋体" w:hAnsi="宋体" w:eastAsia="宋体" w:cs="宋体"/>
          <w:color w:val="auto"/>
          <w:sz w:val="96"/>
          <w:szCs w:val="96"/>
          <w:highlight w:val="none"/>
        </w:rPr>
      </w:pPr>
    </w:p>
    <w:p>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pPr>
        <w:pStyle w:val="25"/>
        <w:spacing w:after="120" w:line="500" w:lineRule="exact"/>
        <w:outlineLvl w:val="9"/>
        <w:rPr>
          <w:rStyle w:val="26"/>
          <w:rFonts w:ascii="宋体" w:hAnsi="宋体" w:cs="宋体"/>
          <w:b/>
          <w:bCs/>
          <w:color w:val="auto"/>
          <w:sz w:val="44"/>
          <w:szCs w:val="44"/>
          <w:highlight w:val="none"/>
        </w:rPr>
      </w:pPr>
    </w:p>
    <w:p>
      <w:pPr>
        <w:pStyle w:val="25"/>
        <w:spacing w:after="120" w:line="500" w:lineRule="exact"/>
        <w:jc w:val="center"/>
        <w:outlineLvl w:val="9"/>
        <w:rPr>
          <w:rStyle w:val="26"/>
          <w:rFonts w:ascii="宋体" w:hAnsi="宋体" w:cs="宋体"/>
          <w:b/>
          <w:bCs/>
          <w:color w:val="auto"/>
          <w:sz w:val="44"/>
          <w:szCs w:val="44"/>
          <w:highlight w:val="none"/>
        </w:rPr>
      </w:pPr>
      <w:r>
        <w:rPr>
          <w:rStyle w:val="26"/>
          <w:rFonts w:hint="eastAsia" w:hAnsi="宋体" w:cs="宋体"/>
          <w:b/>
          <w:bCs/>
          <w:color w:val="auto"/>
          <w:sz w:val="44"/>
          <w:szCs w:val="44"/>
          <w:highlight w:val="none"/>
        </w:rPr>
        <w:t>（第二部分</w:t>
      </w:r>
      <w:r>
        <w:rPr>
          <w:rStyle w:val="26"/>
          <w:rFonts w:hAnsi="宋体" w:cs="宋体"/>
          <w:b/>
          <w:bCs/>
          <w:color w:val="auto"/>
          <w:sz w:val="44"/>
          <w:szCs w:val="44"/>
          <w:highlight w:val="none"/>
        </w:rPr>
        <w:t xml:space="preserve">  </w:t>
      </w:r>
      <w:r>
        <w:rPr>
          <w:rStyle w:val="26"/>
          <w:rFonts w:hint="eastAsia" w:hAnsi="宋体" w:cs="宋体"/>
          <w:b/>
          <w:bCs/>
          <w:color w:val="auto"/>
          <w:sz w:val="44"/>
          <w:szCs w:val="44"/>
          <w:highlight w:val="none"/>
        </w:rPr>
        <w:t>报价部分）</w:t>
      </w:r>
    </w:p>
    <w:p>
      <w:pPr>
        <w:spacing w:line="1000" w:lineRule="exact"/>
        <w:ind w:firstLine="1920" w:firstLineChars="200"/>
        <w:jc w:val="left"/>
        <w:rPr>
          <w:rFonts w:ascii="宋体" w:hAnsi="宋体" w:cs="宋体"/>
          <w:color w:val="auto"/>
          <w:sz w:val="96"/>
          <w:szCs w:val="96"/>
          <w:highlight w:val="none"/>
        </w:rPr>
      </w:pPr>
    </w:p>
    <w:p>
      <w:pPr>
        <w:spacing w:line="1000" w:lineRule="exact"/>
        <w:ind w:firstLine="1920" w:firstLineChars="200"/>
        <w:jc w:val="left"/>
        <w:rPr>
          <w:rFonts w:ascii="宋体" w:hAnsi="宋体" w:cs="宋体"/>
          <w:color w:val="auto"/>
          <w:sz w:val="96"/>
          <w:szCs w:val="96"/>
          <w:highlight w:val="none"/>
        </w:rPr>
      </w:pPr>
    </w:p>
    <w:p>
      <w:pPr>
        <w:pStyle w:val="6"/>
        <w:rPr>
          <w:rFonts w:cs="宋体"/>
          <w:color w:val="auto"/>
          <w:highlight w:val="none"/>
        </w:rPr>
      </w:pPr>
    </w:p>
    <w:p>
      <w:pPr>
        <w:spacing w:line="1000" w:lineRule="exact"/>
        <w:ind w:firstLine="1920" w:firstLineChars="200"/>
        <w:jc w:val="left"/>
        <w:rPr>
          <w:rFonts w:ascii="宋体" w:hAnsi="宋体" w:cs="宋体"/>
          <w:color w:val="auto"/>
          <w:sz w:val="96"/>
          <w:szCs w:val="96"/>
          <w:highlight w:val="none"/>
        </w:rPr>
      </w:pPr>
    </w:p>
    <w:p>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pPr>
        <w:pStyle w:val="12"/>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pPr>
        <w:rPr>
          <w:rFonts w:ascii="宋体" w:hAnsi="宋体" w:cs="宋体"/>
          <w:color w:val="auto"/>
          <w:highlight w:val="none"/>
        </w:rPr>
      </w:pPr>
    </w:p>
    <w:p>
      <w:pPr>
        <w:pStyle w:val="4"/>
        <w:rPr>
          <w:rFonts w:ascii="宋体" w:hAnsi="宋体" w:cs="宋体"/>
          <w:color w:val="auto"/>
          <w:highlight w:val="none"/>
        </w:rPr>
      </w:pPr>
    </w:p>
    <w:p>
      <w:pPr>
        <w:pStyle w:val="7"/>
        <w:keepNext w:val="0"/>
        <w:keepLines w:val="0"/>
        <w:jc w:val="center"/>
        <w:rPr>
          <w:rFonts w:hint="default" w:cs="宋体"/>
          <w:color w:val="auto"/>
          <w:highlight w:val="none"/>
        </w:rPr>
      </w:pPr>
    </w:p>
    <w:p>
      <w:pPr>
        <w:rPr>
          <w:rFonts w:ascii="宋体" w:hAnsi="宋体" w:cs="宋体"/>
          <w:color w:val="auto"/>
          <w:highlight w:val="none"/>
        </w:rPr>
      </w:pPr>
    </w:p>
    <w:p>
      <w:pPr>
        <w:pStyle w:val="7"/>
        <w:keepNext w:val="0"/>
        <w:keepLines w:val="0"/>
        <w:jc w:val="center"/>
        <w:rPr>
          <w:rFonts w:hint="default" w:cs="宋体"/>
          <w:color w:val="auto"/>
          <w:highlight w:val="none"/>
        </w:rPr>
      </w:pPr>
      <w:r>
        <w:rPr>
          <w:rFonts w:hint="default" w:cs="宋体"/>
          <w:color w:val="auto"/>
          <w:kern w:val="44"/>
          <w:sz w:val="32"/>
          <w:szCs w:val="32"/>
          <w:highlight w:val="none"/>
        </w:rPr>
        <w:t>1、报价一览表</w:t>
      </w:r>
    </w:p>
    <w:p>
      <w:pPr>
        <w:pStyle w:val="6"/>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pPr>
        <w:pStyle w:val="6"/>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pPr>
        <w:pStyle w:val="27"/>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金额单位：人民币元</w:t>
      </w:r>
    </w:p>
    <w:tbl>
      <w:tblPr>
        <w:tblStyle w:val="20"/>
        <w:tblW w:w="454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1025"/>
        <w:gridCol w:w="3200"/>
        <w:gridCol w:w="37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89" w:hRule="atLeast"/>
          <w:jc w:val="center"/>
        </w:trPr>
        <w:tc>
          <w:tcPr>
            <w:tcW w:w="1115" w:type="dxa"/>
          </w:tcPr>
          <w:p>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1025" w:type="dxa"/>
            <w:vAlign w:val="center"/>
          </w:tcPr>
          <w:p>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3200" w:type="dxa"/>
            <w:vAlign w:val="top"/>
          </w:tcPr>
          <w:p>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名称</w:t>
            </w:r>
          </w:p>
        </w:tc>
        <w:tc>
          <w:tcPr>
            <w:tcW w:w="3718" w:type="dxa"/>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jc w:val="center"/>
        </w:trPr>
        <w:tc>
          <w:tcPr>
            <w:tcW w:w="1115" w:type="dxa"/>
            <w:vMerge w:val="restart"/>
            <w:vAlign w:val="center"/>
          </w:tcPr>
          <w:p>
            <w:pPr>
              <w:pStyle w:val="29"/>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3200"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桶装水</w:t>
            </w:r>
          </w:p>
        </w:tc>
        <w:tc>
          <w:tcPr>
            <w:tcW w:w="3718"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6" w:hRule="atLeast"/>
          <w:jc w:val="center"/>
        </w:trPr>
        <w:tc>
          <w:tcPr>
            <w:tcW w:w="1115" w:type="dxa"/>
            <w:vMerge w:val="continue"/>
          </w:tcPr>
          <w:p>
            <w:pPr>
              <w:pStyle w:val="29"/>
              <w:widowControl w:val="0"/>
              <w:spacing w:line="360" w:lineRule="auto"/>
              <w:jc w:val="both"/>
              <w:rPr>
                <w:rFonts w:hint="default" w:ascii="宋体" w:hAnsi="宋体" w:cs="宋体"/>
                <w:b w:val="0"/>
                <w:bCs w:val="0"/>
                <w:color w:val="auto"/>
                <w:sz w:val="24"/>
                <w:szCs w:val="24"/>
                <w:highlight w:val="none"/>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3200"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3718"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8" w:hRule="atLeast"/>
          <w:jc w:val="center"/>
        </w:trPr>
        <w:tc>
          <w:tcPr>
            <w:tcW w:w="1115" w:type="dxa"/>
            <w:vMerge w:val="continue"/>
          </w:tcPr>
          <w:p>
            <w:pPr>
              <w:pStyle w:val="29"/>
              <w:widowControl w:val="0"/>
              <w:spacing w:line="360" w:lineRule="auto"/>
              <w:jc w:val="both"/>
              <w:rPr>
                <w:rFonts w:hint="default" w:ascii="宋体" w:hAnsi="宋体" w:cs="宋体"/>
                <w:b w:val="0"/>
                <w:bCs w:val="0"/>
                <w:color w:val="auto"/>
                <w:sz w:val="24"/>
                <w:szCs w:val="24"/>
                <w:highlight w:val="none"/>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3200"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3718" w:type="dxa"/>
            <w:vAlign w:val="center"/>
          </w:tcPr>
          <w:p>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6" w:hRule="atLeast"/>
          <w:jc w:val="center"/>
        </w:trPr>
        <w:tc>
          <w:tcPr>
            <w:tcW w:w="9058" w:type="dxa"/>
            <w:gridSpan w:val="4"/>
            <w:vAlign w:val="center"/>
          </w:tcPr>
          <w:p>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统一下浮率：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tc>
      </w:tr>
    </w:tbl>
    <w:p>
      <w:pPr>
        <w:pStyle w:val="27"/>
        <w:ind w:firstLine="6240" w:firstLineChars="2600"/>
        <w:rPr>
          <w:rFonts w:hint="eastAsia" w:ascii="宋体" w:hAnsi="宋体" w:cs="宋体"/>
          <w:color w:val="auto"/>
          <w:sz w:val="24"/>
          <w:highlight w:val="none"/>
        </w:rPr>
      </w:pPr>
    </w:p>
    <w:p>
      <w:pPr>
        <w:pStyle w:val="27"/>
        <w:ind w:firstLine="6240" w:firstLineChars="2600"/>
        <w:rPr>
          <w:rFonts w:ascii="宋体" w:hAnsi="宋体" w:cs="宋体"/>
          <w:color w:val="auto"/>
          <w:sz w:val="24"/>
          <w:highlight w:val="none"/>
        </w:rPr>
      </w:pPr>
    </w:p>
    <w:p>
      <w:pPr>
        <w:pStyle w:val="27"/>
        <w:ind w:firstLine="6240" w:firstLineChars="2600"/>
        <w:rPr>
          <w:rFonts w:ascii="宋体" w:hAnsi="宋体" w:cs="宋体"/>
          <w:color w:val="auto"/>
          <w:sz w:val="24"/>
          <w:highlight w:val="none"/>
        </w:rPr>
      </w:pPr>
    </w:p>
    <w:p>
      <w:pPr>
        <w:pStyle w:val="27"/>
        <w:ind w:firstLine="6240" w:firstLineChars="2600"/>
        <w:rPr>
          <w:rFonts w:ascii="宋体" w:hAnsi="宋体" w:cs="宋体"/>
          <w:color w:val="auto"/>
          <w:sz w:val="24"/>
          <w:highlight w:val="none"/>
        </w:rPr>
      </w:pPr>
    </w:p>
    <w:p>
      <w:pPr>
        <w:pStyle w:val="17"/>
        <w:spacing w:before="75" w:beforeAutospacing="0" w:after="75" w:afterAutospacing="0"/>
        <w:rPr>
          <w:color w:val="auto"/>
          <w:sz w:val="28"/>
          <w:szCs w:val="28"/>
          <w:highlight w:val="none"/>
        </w:rPr>
      </w:pPr>
    </w:p>
    <w:p>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pP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6B3DA6D"/>
    <w:multiLevelType w:val="singleLevel"/>
    <w:tmpl w:val="46B3DA6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41E6"/>
    <w:rsid w:val="01DB1C83"/>
    <w:rsid w:val="025263E9"/>
    <w:rsid w:val="034D095E"/>
    <w:rsid w:val="04BC223F"/>
    <w:rsid w:val="067601CC"/>
    <w:rsid w:val="06E4782C"/>
    <w:rsid w:val="072D7B79"/>
    <w:rsid w:val="07B90CB8"/>
    <w:rsid w:val="0AF66299"/>
    <w:rsid w:val="0D643474"/>
    <w:rsid w:val="0F933B9D"/>
    <w:rsid w:val="0FB00BF3"/>
    <w:rsid w:val="131F0685"/>
    <w:rsid w:val="19F416DC"/>
    <w:rsid w:val="1AD05CA5"/>
    <w:rsid w:val="1BDD4B1E"/>
    <w:rsid w:val="1C9553F8"/>
    <w:rsid w:val="1F4924CA"/>
    <w:rsid w:val="21CE5523"/>
    <w:rsid w:val="21D52EDF"/>
    <w:rsid w:val="23072480"/>
    <w:rsid w:val="233B65CE"/>
    <w:rsid w:val="27273986"/>
    <w:rsid w:val="29361D11"/>
    <w:rsid w:val="29AA1DB7"/>
    <w:rsid w:val="2C6B772D"/>
    <w:rsid w:val="2CC80477"/>
    <w:rsid w:val="32244DFC"/>
    <w:rsid w:val="33FB393B"/>
    <w:rsid w:val="344F1ED9"/>
    <w:rsid w:val="35447564"/>
    <w:rsid w:val="3801173C"/>
    <w:rsid w:val="3A384218"/>
    <w:rsid w:val="3BAB51D9"/>
    <w:rsid w:val="3D9857BC"/>
    <w:rsid w:val="414B3EEA"/>
    <w:rsid w:val="41EB56C3"/>
    <w:rsid w:val="44C24001"/>
    <w:rsid w:val="47680E90"/>
    <w:rsid w:val="482A4397"/>
    <w:rsid w:val="50CC06E1"/>
    <w:rsid w:val="50E55E32"/>
    <w:rsid w:val="525F10E1"/>
    <w:rsid w:val="55741347"/>
    <w:rsid w:val="55A51AA2"/>
    <w:rsid w:val="55D50038"/>
    <w:rsid w:val="590B5B1F"/>
    <w:rsid w:val="59AD307A"/>
    <w:rsid w:val="5D907B8E"/>
    <w:rsid w:val="5E821CC5"/>
    <w:rsid w:val="5F8623A3"/>
    <w:rsid w:val="60031C46"/>
    <w:rsid w:val="6543275F"/>
    <w:rsid w:val="66014531"/>
    <w:rsid w:val="6739419F"/>
    <w:rsid w:val="69922B64"/>
    <w:rsid w:val="6FF60E7F"/>
    <w:rsid w:val="730F3317"/>
    <w:rsid w:val="74C652C4"/>
    <w:rsid w:val="76B917A0"/>
    <w:rsid w:val="7B2C28B4"/>
    <w:rsid w:val="7C814AB4"/>
    <w:rsid w:val="7E8D2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9"/>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1"/>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7">
    <w:name w:val="Normal (Web)"/>
    <w:basedOn w:val="1"/>
    <w:next w:val="18"/>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9">
    <w:name w:val="Body Text First Indent"/>
    <w:basedOn w:val="11"/>
    <w:next w:val="2"/>
    <w:qFormat/>
    <w:uiPriority w:val="0"/>
    <w:pPr>
      <w:ind w:firstLine="420" w:firstLineChars="100"/>
    </w:pPr>
    <w:rPr>
      <w:rFonts w:ascii="Times New Roman" w:hAnsi="Times New Roman"/>
      <w:szCs w:val="20"/>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paragraph" w:customStyle="1" w:styleId="25">
    <w:name w:val="样式3"/>
    <w:basedOn w:val="12"/>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CN" w:bidi="ar-SA"/>
    </w:rPr>
  </w:style>
  <w:style w:type="character" w:customStyle="1" w:styleId="30">
    <w:name w:val="页眉 Char"/>
    <w:basedOn w:val="22"/>
    <w:link w:val="15"/>
    <w:qFormat/>
    <w:uiPriority w:val="0"/>
    <w:rPr>
      <w:rFonts w:ascii="Calibri" w:hAnsi="Calibri" w:eastAsia="宋体" w:cs="Times New Roman"/>
      <w:kern w:val="2"/>
      <w:sz w:val="18"/>
      <w:szCs w:val="18"/>
    </w:rPr>
  </w:style>
  <w:style w:type="character" w:customStyle="1" w:styleId="31">
    <w:name w:val="批注框文本 Char"/>
    <w:basedOn w:val="22"/>
    <w:link w:val="13"/>
    <w:qFormat/>
    <w:uiPriority w:val="0"/>
    <w:rPr>
      <w:rFonts w:ascii="Calibri" w:hAnsi="Calibri" w:eastAsia="宋体" w:cs="Times New Roman"/>
      <w:kern w:val="2"/>
      <w:sz w:val="18"/>
      <w:szCs w:val="18"/>
    </w:rPr>
  </w:style>
  <w:style w:type="character" w:customStyle="1" w:styleId="32">
    <w:name w:val="font01"/>
    <w:basedOn w:val="22"/>
    <w:qFormat/>
    <w:uiPriority w:val="0"/>
    <w:rPr>
      <w:rFonts w:hint="eastAsia" w:ascii="宋体" w:hAnsi="宋体" w:eastAsia="宋体" w:cs="宋体"/>
      <w:color w:val="000000"/>
      <w:sz w:val="24"/>
      <w:szCs w:val="24"/>
      <w:u w:val="none"/>
    </w:rPr>
  </w:style>
  <w:style w:type="paragraph" w:customStyle="1" w:styleId="33">
    <w:name w:val="List Paragraph"/>
    <w:basedOn w:val="1"/>
    <w:qFormat/>
    <w:uiPriority w:val="99"/>
    <w:pPr>
      <w:ind w:firstLine="420" w:firstLineChars="200"/>
    </w:pPr>
  </w:style>
  <w:style w:type="paragraph" w:customStyle="1" w:styleId="34">
    <w:name w:val="标题 5（有编号）（绿盟科技）"/>
    <w:basedOn w:val="1"/>
    <w:next w:val="35"/>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9982</Words>
  <Characters>10508</Characters>
  <Lines>163</Lines>
  <Paragraphs>45</Paragraphs>
  <TotalTime>18</TotalTime>
  <ScaleCrop>false</ScaleCrop>
  <LinksUpToDate>false</LinksUpToDate>
  <CharactersWithSpaces>10548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2023-09-05T23:25:00Z</dcterms:created>
  <dc:creator>Administrator</dc:creator>
  <cp:lastModifiedBy>秋天的竹园</cp:lastModifiedBy>
  <cp:lastPrinted>2025-11-07T19:54:00Z</cp:lastPrinted>
  <dcterms:modified xsi:type="dcterms:W3CDTF">2026-07-08T08:41:38Z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3D0BDC54CDA3435E88F718D65421CB9A</vt:lpwstr>
  </property>
  <property fmtid="{D5CDD505-2E9C-101B-9397-08002B2CF9AE}" pid="4" name="KSOTemplateDocerSaveRecord">
    <vt:lpwstr>eyJoZGlkIjoiMTYwMWZhY2RiNzllM2ZiMGFkMzQ2MGI1MjNiNTkxYzgiLCJ1c2VySWQiOiI0NDcxMTI1ODQifQ==</vt:lpwstr>
  </property>
</Properties>
</file>