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80F8E7">
      <w:pPr>
        <w:pStyle w:val="13"/>
        <w:widowControl/>
        <w:spacing w:before="60" w:beforeAutospacing="0" w:after="60" w:afterAutospacing="0"/>
        <w:jc w:val="center"/>
        <w:rPr>
          <w:rStyle w:val="19"/>
          <w:rFonts w:hint="eastAsia" w:asciiTheme="minorEastAsia" w:hAnsiTheme="minorEastAsia" w:eastAsiaTheme="minorEastAsia" w:cstheme="minorEastAsia"/>
          <w:color w:val="auto"/>
          <w:sz w:val="52"/>
          <w:szCs w:val="52"/>
          <w:highlight w:val="none"/>
          <w:lang w:val="en-US" w:eastAsia="zh-CN"/>
        </w:rPr>
      </w:pPr>
      <w:bookmarkStart w:id="18" w:name="_GoBack"/>
      <w:bookmarkEnd w:id="18"/>
    </w:p>
    <w:p w14:paraId="4CA0B9A9">
      <w:pPr>
        <w:pStyle w:val="13"/>
        <w:widowControl/>
        <w:spacing w:before="60" w:beforeAutospacing="0" w:after="60" w:afterAutospacing="0"/>
        <w:jc w:val="center"/>
        <w:rPr>
          <w:rStyle w:val="19"/>
          <w:rFonts w:hint="eastAsia" w:asciiTheme="minorEastAsia" w:hAnsiTheme="minorEastAsia" w:eastAsiaTheme="minorEastAsia" w:cstheme="minorEastAsia"/>
          <w:color w:val="auto"/>
          <w:sz w:val="52"/>
          <w:szCs w:val="52"/>
          <w:highlight w:val="none"/>
        </w:rPr>
      </w:pPr>
      <w:r>
        <w:rPr>
          <w:rStyle w:val="19"/>
          <w:rFonts w:hint="eastAsia" w:asciiTheme="minorEastAsia" w:hAnsiTheme="minorEastAsia" w:eastAsiaTheme="minorEastAsia" w:cstheme="minorEastAsia"/>
          <w:color w:val="auto"/>
          <w:sz w:val="52"/>
          <w:szCs w:val="52"/>
          <w:highlight w:val="none"/>
          <w:lang w:eastAsia="zh-CN"/>
        </w:rPr>
        <w:t>龙岩学院2026年生涯体验周和就业体验周活动服务项目</w:t>
      </w:r>
      <w:r>
        <w:rPr>
          <w:rStyle w:val="19"/>
          <w:rFonts w:hint="eastAsia" w:asciiTheme="minorEastAsia" w:hAnsiTheme="minorEastAsia" w:eastAsiaTheme="minorEastAsia" w:cstheme="minorEastAsia"/>
          <w:color w:val="auto"/>
          <w:sz w:val="52"/>
          <w:szCs w:val="52"/>
          <w:highlight w:val="none"/>
        </w:rPr>
        <w:t>竞争性磋商文件</w:t>
      </w:r>
    </w:p>
    <w:p w14:paraId="7E360220">
      <w:pPr>
        <w:pStyle w:val="13"/>
        <w:widowControl/>
        <w:spacing w:before="60" w:beforeAutospacing="0" w:after="60" w:afterAutospacing="0"/>
        <w:jc w:val="center"/>
        <w:rPr>
          <w:rStyle w:val="19"/>
          <w:rFonts w:hint="eastAsia" w:asciiTheme="minorEastAsia" w:hAnsiTheme="minorEastAsia" w:eastAsiaTheme="minorEastAsia" w:cstheme="minorEastAsia"/>
          <w:color w:val="auto"/>
          <w:sz w:val="57"/>
          <w:szCs w:val="57"/>
          <w:highlight w:val="none"/>
        </w:rPr>
      </w:pPr>
      <w:r>
        <w:rPr>
          <w:rStyle w:val="19"/>
          <w:rFonts w:hint="eastAsia" w:asciiTheme="minorEastAsia" w:hAnsiTheme="minorEastAsia" w:eastAsiaTheme="minorEastAsia" w:cstheme="minorEastAsia"/>
          <w:color w:val="auto"/>
          <w:sz w:val="52"/>
          <w:szCs w:val="52"/>
          <w:highlight w:val="none"/>
          <w:lang w:eastAsia="zh-CN"/>
        </w:rPr>
        <w:t>（</w:t>
      </w:r>
      <w:r>
        <w:rPr>
          <w:rStyle w:val="19"/>
          <w:rFonts w:hint="eastAsia" w:asciiTheme="minorEastAsia" w:hAnsiTheme="minorEastAsia" w:eastAsiaTheme="minorEastAsia" w:cstheme="minorEastAsia"/>
          <w:color w:val="auto"/>
          <w:sz w:val="52"/>
          <w:szCs w:val="52"/>
          <w:highlight w:val="none"/>
          <w:lang w:val="en-US" w:eastAsia="zh-CN"/>
        </w:rPr>
        <w:t>服务类</w:t>
      </w:r>
      <w:r>
        <w:rPr>
          <w:rStyle w:val="19"/>
          <w:rFonts w:hint="eastAsia" w:asciiTheme="minorEastAsia" w:hAnsiTheme="minorEastAsia" w:eastAsiaTheme="minorEastAsia" w:cstheme="minorEastAsia"/>
          <w:color w:val="auto"/>
          <w:sz w:val="52"/>
          <w:szCs w:val="52"/>
          <w:highlight w:val="none"/>
          <w:lang w:eastAsia="zh-CN"/>
        </w:rPr>
        <w:t>）</w:t>
      </w:r>
    </w:p>
    <w:p w14:paraId="70605908">
      <w:pPr>
        <w:pStyle w:val="13"/>
        <w:widowControl/>
        <w:spacing w:before="60" w:beforeAutospacing="0" w:after="60" w:afterAutospacing="0"/>
        <w:rPr>
          <w:rStyle w:val="19"/>
          <w:rFonts w:hint="eastAsia" w:asciiTheme="minorEastAsia" w:hAnsiTheme="minorEastAsia" w:eastAsiaTheme="minorEastAsia" w:cstheme="minorEastAsia"/>
          <w:color w:val="auto"/>
          <w:sz w:val="57"/>
          <w:szCs w:val="57"/>
          <w:highlight w:val="none"/>
        </w:rPr>
      </w:pPr>
    </w:p>
    <w:p w14:paraId="033A014F">
      <w:pPr>
        <w:pStyle w:val="13"/>
        <w:widowControl/>
        <w:spacing w:before="60" w:beforeAutospacing="0" w:after="60" w:afterAutospacing="0"/>
        <w:ind w:firstLine="1285" w:firstLineChars="400"/>
        <w:jc w:val="both"/>
        <w:rPr>
          <w:rStyle w:val="19"/>
          <w:rFonts w:hint="eastAsia" w:asciiTheme="minorEastAsia" w:hAnsiTheme="minorEastAsia" w:eastAsiaTheme="minorEastAsia" w:cstheme="minorEastAsia"/>
          <w:color w:val="auto"/>
          <w:sz w:val="32"/>
          <w:szCs w:val="32"/>
          <w:highlight w:val="none"/>
          <w:lang w:val="en-US" w:eastAsia="zh-CN"/>
        </w:rPr>
      </w:pPr>
      <w:r>
        <w:rPr>
          <w:rStyle w:val="19"/>
          <w:rFonts w:hint="eastAsia" w:asciiTheme="minorEastAsia" w:hAnsiTheme="minorEastAsia" w:eastAsiaTheme="minorEastAsia" w:cstheme="minorEastAsia"/>
          <w:color w:val="auto"/>
          <w:sz w:val="32"/>
          <w:szCs w:val="32"/>
          <w:highlight w:val="none"/>
        </w:rPr>
        <w:t>项目名称：</w:t>
      </w:r>
      <w:r>
        <w:rPr>
          <w:rStyle w:val="19"/>
          <w:rFonts w:hint="eastAsia" w:asciiTheme="minorEastAsia" w:hAnsiTheme="minorEastAsia" w:eastAsiaTheme="minorEastAsia" w:cstheme="minorEastAsia"/>
          <w:color w:val="auto"/>
          <w:sz w:val="32"/>
          <w:szCs w:val="32"/>
          <w:highlight w:val="none"/>
          <w:lang w:eastAsia="zh-CN"/>
        </w:rPr>
        <w:t>龙岩学院2026年生涯体验周和就业体验周活动服务项目</w:t>
      </w:r>
    </w:p>
    <w:p w14:paraId="29FC8156">
      <w:pPr>
        <w:pStyle w:val="13"/>
        <w:widowControl/>
        <w:spacing w:before="60" w:beforeAutospacing="0" w:after="60" w:afterAutospacing="0"/>
        <w:jc w:val="center"/>
        <w:rPr>
          <w:rStyle w:val="19"/>
          <w:rFonts w:hint="eastAsia" w:asciiTheme="minorEastAsia" w:hAnsiTheme="minorEastAsia" w:eastAsiaTheme="minorEastAsia" w:cstheme="minorEastAsia"/>
          <w:color w:val="auto"/>
          <w:sz w:val="32"/>
          <w:szCs w:val="32"/>
          <w:highlight w:val="none"/>
        </w:rPr>
      </w:pPr>
    </w:p>
    <w:p w14:paraId="7DC3A555">
      <w:pPr>
        <w:pStyle w:val="13"/>
        <w:widowControl/>
        <w:spacing w:before="60" w:beforeAutospacing="0" w:after="60" w:afterAutospacing="0"/>
        <w:ind w:firstLine="1285" w:firstLineChars="400"/>
        <w:jc w:val="both"/>
        <w:rPr>
          <w:rFonts w:hint="eastAsia" w:asciiTheme="minorEastAsia" w:hAnsiTheme="minorEastAsia" w:eastAsiaTheme="minorEastAsia" w:cstheme="minorEastAsia"/>
          <w:color w:val="auto"/>
          <w:sz w:val="32"/>
          <w:szCs w:val="32"/>
          <w:highlight w:val="none"/>
          <w:lang w:eastAsia="zh-CN"/>
        </w:rPr>
      </w:pPr>
      <w:r>
        <w:rPr>
          <w:rStyle w:val="19"/>
          <w:rFonts w:hint="eastAsia" w:asciiTheme="minorEastAsia" w:hAnsiTheme="minorEastAsia" w:eastAsiaTheme="minorEastAsia" w:cstheme="minorEastAsia"/>
          <w:color w:val="auto"/>
          <w:sz w:val="32"/>
          <w:szCs w:val="32"/>
          <w:highlight w:val="none"/>
        </w:rPr>
        <w:t>项目编号：</w:t>
      </w:r>
      <w:r>
        <w:rPr>
          <w:rStyle w:val="19"/>
          <w:rFonts w:hint="eastAsia" w:asciiTheme="minorEastAsia" w:hAnsiTheme="minorEastAsia" w:eastAsiaTheme="minorEastAsia" w:cstheme="minorEastAsia"/>
          <w:color w:val="auto"/>
          <w:sz w:val="32"/>
          <w:szCs w:val="32"/>
          <w:highlight w:val="none"/>
          <w:lang w:eastAsia="zh-CN"/>
        </w:rPr>
        <w:t>鑫达岩字招（2026）079号</w:t>
      </w:r>
    </w:p>
    <w:p w14:paraId="08AC6521">
      <w:pPr>
        <w:pStyle w:val="13"/>
        <w:widowControl/>
        <w:spacing w:before="60" w:beforeAutospacing="0" w:after="60" w:afterAutospacing="0"/>
        <w:rPr>
          <w:rFonts w:hint="eastAsia" w:asciiTheme="minorEastAsia" w:hAnsiTheme="minorEastAsia" w:eastAsiaTheme="minorEastAsia" w:cstheme="minorEastAsia"/>
          <w:color w:val="auto"/>
          <w:sz w:val="32"/>
          <w:szCs w:val="32"/>
          <w:highlight w:val="none"/>
          <w:lang w:val="en-US" w:eastAsia="zh-CN"/>
        </w:rPr>
      </w:pPr>
      <w:r>
        <w:rPr>
          <w:rFonts w:hint="eastAsia" w:asciiTheme="minorEastAsia" w:hAnsiTheme="minorEastAsia" w:eastAsiaTheme="minorEastAsia" w:cstheme="minorEastAsia"/>
          <w:color w:val="auto"/>
          <w:sz w:val="32"/>
          <w:szCs w:val="32"/>
          <w:highlight w:val="none"/>
        </w:rPr>
        <w:t> </w:t>
      </w:r>
    </w:p>
    <w:p w14:paraId="7554230D">
      <w:pPr>
        <w:pStyle w:val="13"/>
        <w:widowControl/>
        <w:spacing w:before="60" w:beforeAutospacing="0" w:after="60" w:afterAutospacing="0"/>
        <w:ind w:firstLine="1285" w:firstLineChars="400"/>
        <w:rPr>
          <w:rStyle w:val="19"/>
          <w:rFonts w:hint="eastAsia" w:asciiTheme="minorEastAsia" w:hAnsiTheme="minorEastAsia" w:eastAsiaTheme="minorEastAsia" w:cstheme="minorEastAsia"/>
          <w:bCs w:val="0"/>
          <w:color w:val="auto"/>
          <w:sz w:val="32"/>
          <w:szCs w:val="32"/>
          <w:highlight w:val="none"/>
          <w:u w:val="single"/>
          <w:lang w:eastAsia="zh-CN"/>
        </w:rPr>
      </w:pPr>
      <w:r>
        <w:rPr>
          <w:rFonts w:hint="eastAsia" w:asciiTheme="minorEastAsia" w:hAnsiTheme="minorEastAsia" w:eastAsiaTheme="minorEastAsia" w:cstheme="minorEastAsia"/>
          <w:b/>
          <w:bCs/>
          <w:color w:val="auto"/>
          <w:sz w:val="32"/>
          <w:szCs w:val="32"/>
          <w:highlight w:val="none"/>
          <w:lang w:eastAsia="zh-CN" w:bidi="ar"/>
        </w:rPr>
        <w:t>采购</w:t>
      </w:r>
      <w:r>
        <w:rPr>
          <w:rFonts w:hint="eastAsia" w:asciiTheme="minorEastAsia" w:hAnsiTheme="minorEastAsia" w:eastAsiaTheme="minorEastAsia" w:cstheme="minorEastAsia"/>
          <w:b/>
          <w:bCs/>
          <w:color w:val="auto"/>
          <w:sz w:val="32"/>
          <w:szCs w:val="32"/>
          <w:highlight w:val="none"/>
          <w:lang w:bidi="ar"/>
        </w:rPr>
        <w:t>人：</w:t>
      </w:r>
      <w:r>
        <w:rPr>
          <w:rFonts w:hint="eastAsia" w:asciiTheme="minorEastAsia" w:hAnsiTheme="minorEastAsia" w:eastAsiaTheme="minorEastAsia" w:cstheme="minorEastAsia"/>
          <w:b/>
          <w:bCs/>
          <w:color w:val="auto"/>
          <w:sz w:val="32"/>
          <w:szCs w:val="32"/>
          <w:highlight w:val="none"/>
          <w:lang w:eastAsia="zh-CN" w:bidi="ar"/>
        </w:rPr>
        <w:t>龙岩学院</w:t>
      </w:r>
    </w:p>
    <w:p w14:paraId="12384F10">
      <w:pPr>
        <w:pStyle w:val="13"/>
        <w:widowControl/>
        <w:spacing w:before="60" w:beforeAutospacing="0" w:after="60" w:afterAutospacing="0"/>
        <w:jc w:val="center"/>
        <w:rPr>
          <w:rFonts w:hint="eastAsia" w:asciiTheme="minorEastAsia" w:hAnsiTheme="minorEastAsia" w:eastAsiaTheme="minorEastAsia" w:cstheme="minorEastAsia"/>
          <w:b/>
          <w:bCs/>
          <w:color w:val="auto"/>
          <w:sz w:val="32"/>
          <w:szCs w:val="32"/>
          <w:highlight w:val="none"/>
        </w:rPr>
      </w:pPr>
    </w:p>
    <w:p w14:paraId="72A6CD45">
      <w:pPr>
        <w:pStyle w:val="13"/>
        <w:widowControl/>
        <w:spacing w:before="60" w:beforeAutospacing="0" w:after="60" w:afterAutospacing="0"/>
        <w:ind w:firstLine="1285" w:firstLineChars="400"/>
        <w:jc w:val="both"/>
        <w:rPr>
          <w:rFonts w:hint="eastAsia" w:asciiTheme="minorEastAsia" w:hAnsiTheme="minorEastAsia" w:eastAsiaTheme="minorEastAsia" w:cstheme="minorEastAsia"/>
          <w:b/>
          <w:bCs/>
          <w:color w:val="auto"/>
          <w:kern w:val="0"/>
          <w:sz w:val="32"/>
          <w:szCs w:val="32"/>
          <w:highlight w:val="none"/>
          <w:lang w:val="en-US" w:eastAsia="zh-CN" w:bidi="ar"/>
        </w:rPr>
      </w:pPr>
      <w:r>
        <w:rPr>
          <w:rFonts w:hint="eastAsia" w:asciiTheme="minorEastAsia" w:hAnsiTheme="minorEastAsia" w:eastAsiaTheme="minorEastAsia" w:cstheme="minorEastAsia"/>
          <w:b/>
          <w:bCs/>
          <w:color w:val="auto"/>
          <w:sz w:val="32"/>
          <w:szCs w:val="32"/>
          <w:highlight w:val="none"/>
        </w:rPr>
        <w:t>代理机构：</w:t>
      </w:r>
      <w:r>
        <w:rPr>
          <w:rFonts w:hint="eastAsia" w:asciiTheme="minorEastAsia" w:hAnsiTheme="minorEastAsia" w:eastAsiaTheme="minorEastAsia" w:cstheme="minorEastAsia"/>
          <w:b/>
          <w:bCs/>
          <w:color w:val="auto"/>
          <w:sz w:val="32"/>
          <w:szCs w:val="32"/>
          <w:highlight w:val="none"/>
          <w:lang w:eastAsia="zh-CN"/>
        </w:rPr>
        <w:t>龙岩市鑫达工程管理有限公司</w:t>
      </w:r>
    </w:p>
    <w:p w14:paraId="7627F16B">
      <w:pPr>
        <w:pStyle w:val="42"/>
        <w:jc w:val="center"/>
        <w:outlineLvl w:val="2"/>
        <w:rPr>
          <w:rFonts w:hint="eastAsia" w:asciiTheme="minorEastAsia" w:hAnsiTheme="minorEastAsia" w:eastAsiaTheme="minorEastAsia" w:cstheme="minorEastAsia"/>
          <w:b/>
          <w:bCs/>
          <w:color w:val="auto"/>
          <w:kern w:val="0"/>
          <w:sz w:val="32"/>
          <w:szCs w:val="32"/>
          <w:highlight w:val="none"/>
          <w:lang w:val="en-US" w:eastAsia="zh-CN" w:bidi="ar"/>
        </w:rPr>
      </w:pPr>
    </w:p>
    <w:p w14:paraId="666CAA3B">
      <w:pPr>
        <w:pStyle w:val="42"/>
        <w:jc w:val="center"/>
        <w:outlineLvl w:val="2"/>
        <w:rPr>
          <w:rFonts w:hint="eastAsia" w:asciiTheme="minorEastAsia" w:hAnsiTheme="minorEastAsia" w:eastAsiaTheme="minorEastAsia" w:cstheme="minorEastAsia"/>
          <w:b/>
          <w:bCs/>
          <w:color w:val="auto"/>
          <w:kern w:val="0"/>
          <w:sz w:val="32"/>
          <w:szCs w:val="32"/>
          <w:highlight w:val="none"/>
          <w:lang w:val="en-US" w:eastAsia="zh-CN" w:bidi="ar"/>
        </w:rPr>
      </w:pPr>
      <w:r>
        <w:rPr>
          <w:rFonts w:hint="eastAsia" w:asciiTheme="minorEastAsia" w:hAnsiTheme="minorEastAsia" w:eastAsiaTheme="minorEastAsia" w:cstheme="minorEastAsia"/>
          <w:b/>
          <w:bCs/>
          <w:color w:val="auto"/>
          <w:kern w:val="0"/>
          <w:sz w:val="32"/>
          <w:szCs w:val="32"/>
          <w:highlight w:val="none"/>
          <w:lang w:val="en-US" w:eastAsia="zh-CN" w:bidi="ar"/>
        </w:rPr>
        <w:t>编制时间：2026年</w:t>
      </w:r>
      <w:r>
        <w:rPr>
          <w:rFonts w:hint="eastAsia" w:asciiTheme="minorEastAsia" w:hAnsiTheme="minorEastAsia" w:cstheme="minorEastAsia"/>
          <w:b/>
          <w:bCs/>
          <w:color w:val="auto"/>
          <w:kern w:val="0"/>
          <w:sz w:val="32"/>
          <w:szCs w:val="32"/>
          <w:highlight w:val="none"/>
          <w:lang w:val="en-US" w:eastAsia="zh-CN" w:bidi="ar"/>
        </w:rPr>
        <w:t>10</w:t>
      </w:r>
      <w:r>
        <w:rPr>
          <w:rFonts w:hint="eastAsia" w:asciiTheme="minorEastAsia" w:hAnsiTheme="minorEastAsia" w:eastAsiaTheme="minorEastAsia" w:cstheme="minorEastAsia"/>
          <w:b/>
          <w:bCs/>
          <w:color w:val="auto"/>
          <w:kern w:val="0"/>
          <w:sz w:val="32"/>
          <w:szCs w:val="32"/>
          <w:highlight w:val="none"/>
          <w:lang w:val="en-US" w:eastAsia="zh-CN" w:bidi="ar"/>
        </w:rPr>
        <w:t>月</w:t>
      </w:r>
    </w:p>
    <w:p w14:paraId="7EF46835">
      <w:pPr>
        <w:rPr>
          <w:rFonts w:hint="eastAsia" w:asciiTheme="minorEastAsia" w:hAnsiTheme="minorEastAsia" w:eastAsiaTheme="minorEastAsia" w:cstheme="minorEastAsia"/>
          <w:color w:val="auto"/>
          <w:sz w:val="19"/>
          <w:szCs w:val="19"/>
          <w:highlight w:val="none"/>
        </w:rPr>
      </w:pPr>
    </w:p>
    <w:p w14:paraId="519D6184">
      <w:pPr>
        <w:rPr>
          <w:rStyle w:val="19"/>
          <w:rFonts w:hint="eastAsia" w:asciiTheme="minorEastAsia" w:hAnsiTheme="minorEastAsia" w:eastAsiaTheme="minorEastAsia" w:cstheme="minorEastAsia"/>
          <w:color w:val="auto"/>
          <w:sz w:val="34"/>
          <w:szCs w:val="34"/>
          <w:highlight w:val="none"/>
        </w:rPr>
      </w:pPr>
      <w:r>
        <w:rPr>
          <w:rStyle w:val="19"/>
          <w:rFonts w:hint="eastAsia" w:asciiTheme="minorEastAsia" w:hAnsiTheme="minorEastAsia" w:eastAsiaTheme="minorEastAsia" w:cstheme="minorEastAsia"/>
          <w:color w:val="auto"/>
          <w:sz w:val="34"/>
          <w:szCs w:val="34"/>
          <w:highlight w:val="none"/>
        </w:rPr>
        <w:br w:type="page"/>
      </w:r>
    </w:p>
    <w:p w14:paraId="288AD9A6">
      <w:pPr>
        <w:pStyle w:val="13"/>
        <w:widowControl/>
        <w:spacing w:before="60" w:beforeAutospacing="0" w:after="60" w:afterAutospacing="0"/>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34"/>
          <w:szCs w:val="34"/>
          <w:highlight w:val="none"/>
        </w:rPr>
        <w:t>第一章 采购邀请书</w:t>
      </w:r>
    </w:p>
    <w:p w14:paraId="0D6F60EF">
      <w:pPr>
        <w:pStyle w:val="13"/>
        <w:keepNext w:val="0"/>
        <w:keepLines w:val="0"/>
        <w:pageBreakBefore w:val="0"/>
        <w:widowControl/>
        <w:kinsoku/>
        <w:wordWrap/>
        <w:overflowPunct/>
        <w:topLinePunct w:val="0"/>
        <w:autoSpaceDE/>
        <w:autoSpaceDN/>
        <w:bidi w:val="0"/>
        <w:adjustRightInd/>
        <w:snapToGrid/>
        <w:spacing w:before="60" w:beforeAutospacing="0" w:after="60" w:afterAutospacing="0" w:line="400" w:lineRule="exact"/>
        <w:jc w:val="center"/>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28"/>
          <w:szCs w:val="28"/>
          <w:highlight w:val="none"/>
        </w:rPr>
        <w:t>竞争性磋商采购公告</w:t>
      </w:r>
    </w:p>
    <w:p w14:paraId="02DC18C5">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left="0" w:right="0" w:firstLine="480"/>
        <w:textAlignment w:val="auto"/>
        <w:rPr>
          <w:rFonts w:hint="eastAsia" w:asciiTheme="minorEastAsia" w:hAnsiTheme="minorEastAsia" w:eastAsiaTheme="minorEastAsia" w:cstheme="minorEastAsia"/>
          <w:color w:val="auto"/>
          <w:spacing w:val="0"/>
          <w:sz w:val="24"/>
          <w:szCs w:val="24"/>
          <w:highlight w:val="none"/>
          <w:lang w:val="en-US" w:eastAsia="zh-CN"/>
        </w:rPr>
      </w:pPr>
      <w:r>
        <w:rPr>
          <w:rFonts w:hint="eastAsia" w:asciiTheme="minorEastAsia" w:hAnsiTheme="minorEastAsia" w:eastAsiaTheme="minorEastAsia" w:cstheme="minorEastAsia"/>
          <w:color w:val="auto"/>
          <w:spacing w:val="0"/>
          <w:sz w:val="24"/>
          <w:szCs w:val="24"/>
          <w:highlight w:val="none"/>
          <w:u w:val="single"/>
          <w:lang w:eastAsia="zh-CN"/>
        </w:rPr>
        <w:t>龙岩学院</w:t>
      </w:r>
      <w:r>
        <w:rPr>
          <w:rFonts w:hint="eastAsia" w:asciiTheme="minorEastAsia" w:hAnsiTheme="minorEastAsia" w:eastAsiaTheme="minorEastAsia" w:cstheme="minorEastAsia"/>
          <w:color w:val="auto"/>
          <w:spacing w:val="0"/>
          <w:sz w:val="24"/>
          <w:szCs w:val="24"/>
          <w:highlight w:val="none"/>
        </w:rPr>
        <w:t>已根据相关法律法规，经相应程序确定采用</w:t>
      </w:r>
      <w:r>
        <w:rPr>
          <w:rFonts w:hint="eastAsia" w:asciiTheme="minorEastAsia" w:hAnsiTheme="minorEastAsia" w:eastAsiaTheme="minorEastAsia" w:cstheme="minorEastAsia"/>
          <w:color w:val="auto"/>
          <w:spacing w:val="0"/>
          <w:sz w:val="24"/>
          <w:szCs w:val="24"/>
          <w:highlight w:val="none"/>
          <w:u w:val="single"/>
        </w:rPr>
        <w:t> 竞争性磋商</w:t>
      </w:r>
      <w:r>
        <w:rPr>
          <w:rFonts w:hint="eastAsia" w:asciiTheme="minorEastAsia" w:hAnsiTheme="minorEastAsia" w:eastAsiaTheme="minorEastAsia" w:cstheme="minorEastAsia"/>
          <w:color w:val="auto"/>
          <w:spacing w:val="0"/>
          <w:sz w:val="24"/>
          <w:szCs w:val="24"/>
          <w:highlight w:val="none"/>
        </w:rPr>
        <w:t>方式组织</w:t>
      </w:r>
      <w:r>
        <w:rPr>
          <w:rFonts w:hint="eastAsia" w:asciiTheme="minorEastAsia" w:hAnsiTheme="minorEastAsia" w:eastAsiaTheme="minorEastAsia" w:cstheme="minorEastAsia"/>
          <w:color w:val="auto"/>
          <w:spacing w:val="0"/>
          <w:sz w:val="24"/>
          <w:szCs w:val="24"/>
          <w:highlight w:val="none"/>
          <w:u w:val="single"/>
          <w:lang w:eastAsia="zh-CN"/>
        </w:rPr>
        <w:t>龙岩学院2026年生涯体验周和就业体验周活动服务项目</w:t>
      </w:r>
      <w:r>
        <w:rPr>
          <w:rFonts w:hint="eastAsia" w:asciiTheme="minorEastAsia" w:hAnsiTheme="minorEastAsia" w:eastAsiaTheme="minorEastAsia" w:cstheme="minorEastAsia"/>
          <w:color w:val="auto"/>
          <w:spacing w:val="0"/>
          <w:sz w:val="24"/>
          <w:szCs w:val="24"/>
          <w:highlight w:val="none"/>
        </w:rPr>
        <w:t>项目（以下简称：“本项目”）的采购活动，现欢迎国内合格的供应商前来参加。本项目由采购人委托</w:t>
      </w:r>
      <w:r>
        <w:rPr>
          <w:rFonts w:hint="eastAsia" w:asciiTheme="minorEastAsia" w:hAnsiTheme="minorEastAsia" w:eastAsiaTheme="minorEastAsia" w:cstheme="minorEastAsia"/>
          <w:color w:val="auto"/>
          <w:spacing w:val="0"/>
          <w:sz w:val="24"/>
          <w:szCs w:val="24"/>
          <w:highlight w:val="none"/>
          <w:u w:val="single"/>
          <w:lang w:eastAsia="zh-CN"/>
        </w:rPr>
        <w:t>龙岩市鑫达工程管理有限公司</w:t>
      </w:r>
      <w:r>
        <w:rPr>
          <w:rFonts w:hint="eastAsia" w:asciiTheme="minorEastAsia" w:hAnsiTheme="minorEastAsia" w:eastAsiaTheme="minorEastAsia" w:cstheme="minorEastAsia"/>
          <w:color w:val="auto"/>
          <w:spacing w:val="0"/>
          <w:sz w:val="24"/>
          <w:szCs w:val="24"/>
          <w:highlight w:val="none"/>
        </w:rPr>
        <w:t>开展竞争性磋商活动。</w:t>
      </w:r>
    </w:p>
    <w:p w14:paraId="51AA05D8">
      <w:pPr>
        <w:pStyle w:val="13"/>
        <w:keepNext w:val="0"/>
        <w:keepLines w:val="0"/>
        <w:pageBreakBefore w:val="0"/>
        <w:widowControl/>
        <w:numPr>
          <w:ilvl w:val="0"/>
          <w:numId w:val="0"/>
        </w:numPr>
        <w:suppressLineNumbers w:val="0"/>
        <w:kinsoku/>
        <w:wordWrap/>
        <w:overflowPunct/>
        <w:topLinePunct w:val="0"/>
        <w:autoSpaceDE/>
        <w:autoSpaceDN/>
        <w:bidi w:val="0"/>
        <w:adjustRightInd/>
        <w:snapToGrid/>
        <w:spacing w:before="75" w:beforeAutospacing="0" w:after="75" w:afterAutospacing="0" w:line="400" w:lineRule="exact"/>
        <w:ind w:left="480" w:leftChars="0" w:right="0" w:rightChars="0"/>
        <w:textAlignment w:val="auto"/>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lang w:val="en-US" w:eastAsia="zh-CN"/>
        </w:rPr>
        <w:t>1.</w:t>
      </w:r>
      <w:r>
        <w:rPr>
          <w:rFonts w:hint="eastAsia" w:asciiTheme="minorEastAsia" w:hAnsiTheme="minorEastAsia" w:eastAsiaTheme="minorEastAsia" w:cstheme="minorEastAsia"/>
          <w:color w:val="auto"/>
          <w:spacing w:val="0"/>
          <w:sz w:val="24"/>
          <w:szCs w:val="24"/>
          <w:highlight w:val="none"/>
        </w:rPr>
        <w:t>项目名称：</w:t>
      </w:r>
      <w:r>
        <w:rPr>
          <w:rFonts w:hint="eastAsia" w:asciiTheme="minorEastAsia" w:hAnsiTheme="minorEastAsia" w:eastAsiaTheme="minorEastAsia" w:cstheme="minorEastAsia"/>
          <w:color w:val="auto"/>
          <w:spacing w:val="0"/>
          <w:sz w:val="24"/>
          <w:szCs w:val="24"/>
          <w:highlight w:val="none"/>
          <w:lang w:eastAsia="zh-CN"/>
        </w:rPr>
        <w:t>龙岩学院2026年生涯体验周和就业体验周活动服务项目</w:t>
      </w:r>
      <w:r>
        <w:rPr>
          <w:rFonts w:hint="eastAsia" w:asciiTheme="minorEastAsia" w:hAnsiTheme="minorEastAsia" w:eastAsiaTheme="minorEastAsia" w:cstheme="minorEastAsia"/>
          <w:color w:val="auto"/>
          <w:spacing w:val="0"/>
          <w:sz w:val="24"/>
          <w:szCs w:val="24"/>
          <w:highlight w:val="none"/>
        </w:rPr>
        <w:t>。</w:t>
      </w:r>
    </w:p>
    <w:p w14:paraId="0EDC28E5">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left="0" w:right="0" w:firstLine="48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0"/>
          <w:sz w:val="24"/>
          <w:szCs w:val="24"/>
          <w:highlight w:val="none"/>
          <w:lang w:val="en-US" w:eastAsia="zh-CN"/>
        </w:rPr>
        <w:t>2.</w:t>
      </w:r>
      <w:r>
        <w:rPr>
          <w:rFonts w:hint="eastAsia" w:asciiTheme="minorEastAsia" w:hAnsiTheme="minorEastAsia" w:eastAsiaTheme="minorEastAsia" w:cstheme="minorEastAsia"/>
          <w:color w:val="auto"/>
          <w:spacing w:val="0"/>
          <w:sz w:val="24"/>
          <w:szCs w:val="24"/>
          <w:highlight w:val="none"/>
        </w:rPr>
        <w:t>采购编号：</w:t>
      </w:r>
      <w:r>
        <w:rPr>
          <w:rFonts w:hint="eastAsia" w:asciiTheme="minorEastAsia" w:hAnsiTheme="minorEastAsia" w:eastAsiaTheme="minorEastAsia" w:cstheme="minorEastAsia"/>
          <w:color w:val="auto"/>
          <w:spacing w:val="0"/>
          <w:sz w:val="24"/>
          <w:szCs w:val="24"/>
          <w:highlight w:val="none"/>
          <w:lang w:eastAsia="zh-CN"/>
        </w:rPr>
        <w:t>鑫达岩字招（2026）079号</w:t>
      </w:r>
      <w:r>
        <w:rPr>
          <w:rFonts w:hint="eastAsia" w:asciiTheme="minorEastAsia" w:hAnsiTheme="minorEastAsia" w:eastAsiaTheme="minorEastAsia" w:cstheme="minorEastAsia"/>
          <w:color w:val="auto"/>
          <w:spacing w:val="0"/>
          <w:sz w:val="24"/>
          <w:szCs w:val="24"/>
          <w:highlight w:val="none"/>
        </w:rPr>
        <w:t>。</w:t>
      </w:r>
    </w:p>
    <w:p w14:paraId="0A27725F">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left="0" w:right="0" w:firstLine="480"/>
        <w:textAlignment w:val="auto"/>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lang w:val="en-US" w:eastAsia="zh-CN"/>
        </w:rPr>
        <w:t>3.</w:t>
      </w:r>
      <w:r>
        <w:rPr>
          <w:rFonts w:hint="eastAsia" w:asciiTheme="minorEastAsia" w:hAnsiTheme="minorEastAsia" w:eastAsiaTheme="minorEastAsia" w:cstheme="minorEastAsia"/>
          <w:color w:val="auto"/>
          <w:spacing w:val="0"/>
          <w:sz w:val="24"/>
          <w:szCs w:val="24"/>
          <w:highlight w:val="none"/>
        </w:rPr>
        <w:t>采购内容及要求：</w:t>
      </w:r>
    </w:p>
    <w:tbl>
      <w:tblPr>
        <w:tblStyle w:val="16"/>
        <w:tblW w:w="975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39"/>
        <w:gridCol w:w="3872"/>
        <w:gridCol w:w="2560"/>
        <w:gridCol w:w="2587"/>
      </w:tblGrid>
      <w:tr w14:paraId="134548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40" w:hRule="atLeast"/>
          <w:jc w:val="center"/>
        </w:trPr>
        <w:tc>
          <w:tcPr>
            <w:tcW w:w="739" w:type="dxa"/>
            <w:vAlign w:val="center"/>
          </w:tcPr>
          <w:p w14:paraId="53609993">
            <w:pPr>
              <w:pStyle w:val="4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3872" w:type="dxa"/>
            <w:vAlign w:val="center"/>
          </w:tcPr>
          <w:p w14:paraId="439C527C">
            <w:pPr>
              <w:pStyle w:val="4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标的名称</w:t>
            </w:r>
          </w:p>
        </w:tc>
        <w:tc>
          <w:tcPr>
            <w:tcW w:w="2560" w:type="dxa"/>
            <w:vAlign w:val="center"/>
          </w:tcPr>
          <w:p w14:paraId="34D436E7">
            <w:pPr>
              <w:pStyle w:val="42"/>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最高限价</w:t>
            </w:r>
            <w:r>
              <w:rPr>
                <w:rFonts w:hint="eastAsia" w:asciiTheme="minorEastAsia" w:hAnsiTheme="minorEastAsia" w:eastAsiaTheme="minorEastAsia" w:cstheme="minorEastAsia"/>
                <w:color w:val="auto"/>
                <w:kern w:val="0"/>
                <w:sz w:val="24"/>
                <w:szCs w:val="24"/>
                <w:highlight w:val="none"/>
                <w:lang w:val="en-US" w:eastAsia="zh-CN"/>
              </w:rPr>
              <w:t>（元）</w:t>
            </w:r>
          </w:p>
        </w:tc>
        <w:tc>
          <w:tcPr>
            <w:tcW w:w="2587" w:type="dxa"/>
            <w:vAlign w:val="center"/>
          </w:tcPr>
          <w:p w14:paraId="33BD66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kern w:val="0"/>
                <w:sz w:val="24"/>
                <w:szCs w:val="24"/>
                <w:highlight w:val="none"/>
                <w:lang w:val="en-US" w:eastAsia="zh-Hans"/>
              </w:rPr>
            </w:pPr>
            <w:r>
              <w:rPr>
                <w:rFonts w:hint="eastAsia" w:asciiTheme="minorEastAsia" w:hAnsiTheme="minorEastAsia" w:eastAsiaTheme="minorEastAsia" w:cstheme="minorEastAsia"/>
                <w:color w:val="auto"/>
                <w:kern w:val="0"/>
                <w:sz w:val="24"/>
                <w:szCs w:val="24"/>
                <w:highlight w:val="none"/>
                <w:lang w:val="en-US" w:eastAsia="zh-CN"/>
              </w:rPr>
              <w:t>磋商保证金（元）</w:t>
            </w:r>
          </w:p>
        </w:tc>
      </w:tr>
      <w:tr w14:paraId="6022BE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57" w:hRule="atLeast"/>
          <w:jc w:val="center"/>
        </w:trPr>
        <w:tc>
          <w:tcPr>
            <w:tcW w:w="739" w:type="dxa"/>
            <w:vAlign w:val="center"/>
          </w:tcPr>
          <w:p w14:paraId="1151013D">
            <w:pPr>
              <w:pStyle w:val="4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3872" w:type="dxa"/>
            <w:vAlign w:val="center"/>
          </w:tcPr>
          <w:p w14:paraId="7B49DFE8">
            <w:pPr>
              <w:pStyle w:val="4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eastAsia="zh-CN"/>
              </w:rPr>
              <w:t>龙岩学院2026年生涯体验周和就业体验周活动服务项目</w:t>
            </w:r>
          </w:p>
        </w:tc>
        <w:tc>
          <w:tcPr>
            <w:tcW w:w="2560" w:type="dxa"/>
            <w:vAlign w:val="center"/>
          </w:tcPr>
          <w:p w14:paraId="64FD47E3">
            <w:pPr>
              <w:pStyle w:val="42"/>
              <w:jc w:val="center"/>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99300</w:t>
            </w:r>
          </w:p>
        </w:tc>
        <w:tc>
          <w:tcPr>
            <w:tcW w:w="2587" w:type="dxa"/>
            <w:vAlign w:val="center"/>
          </w:tcPr>
          <w:p w14:paraId="744395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heme="minorEastAsia" w:hAnsiTheme="minorEastAsia" w:eastAsiaTheme="minorEastAsia" w:cstheme="minorEastAsia"/>
                <w:color w:val="auto"/>
                <w:kern w:val="0"/>
                <w:sz w:val="24"/>
                <w:szCs w:val="24"/>
                <w:highlight w:val="none"/>
                <w:lang w:val="en-US" w:eastAsia="zh-Hans"/>
              </w:rPr>
            </w:pPr>
            <w:r>
              <w:rPr>
                <w:rFonts w:hint="eastAsia" w:asciiTheme="minorEastAsia" w:hAnsiTheme="minorEastAsia" w:eastAsiaTheme="minorEastAsia" w:cstheme="minorEastAsia"/>
                <w:color w:val="auto"/>
                <w:kern w:val="0"/>
                <w:sz w:val="24"/>
                <w:szCs w:val="24"/>
                <w:highlight w:val="none"/>
                <w:lang w:val="en-US" w:eastAsia="zh-CN"/>
              </w:rPr>
              <w:t>900</w:t>
            </w:r>
          </w:p>
        </w:tc>
      </w:tr>
    </w:tbl>
    <w:p w14:paraId="6965B63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4</w:t>
      </w:r>
      <w:r>
        <w:rPr>
          <w:rFonts w:hint="eastAsia" w:asciiTheme="minorEastAsia" w:hAnsiTheme="minorEastAsia" w:eastAsiaTheme="minorEastAsia" w:cstheme="minorEastAsia"/>
          <w:color w:val="auto"/>
          <w:highlight w:val="none"/>
        </w:rPr>
        <w:t>.供应商的资格要求：</w:t>
      </w:r>
    </w:p>
    <w:p w14:paraId="4CBC7ED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4</w:t>
      </w:r>
      <w:r>
        <w:rPr>
          <w:rFonts w:hint="eastAsia" w:asciiTheme="minorEastAsia" w:hAnsiTheme="minorEastAsia" w:eastAsiaTheme="minorEastAsia" w:cstheme="minorEastAsia"/>
          <w:color w:val="auto"/>
          <w:highlight w:val="none"/>
        </w:rPr>
        <w:t>.1法定条件：符合《中华人民共和国政府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法》第二十二条第一款规定的条件。</w:t>
      </w:r>
    </w:p>
    <w:tbl>
      <w:tblPr>
        <w:tblStyle w:val="16"/>
        <w:tblW w:w="9993"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62"/>
        <w:gridCol w:w="1815"/>
        <w:gridCol w:w="7516"/>
      </w:tblGrid>
      <w:tr w14:paraId="6F6023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2" w:type="dxa"/>
            <w:noWrap w:val="0"/>
            <w:vAlign w:val="center"/>
          </w:tcPr>
          <w:p w14:paraId="3C765357">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序号</w:t>
            </w:r>
          </w:p>
        </w:tc>
        <w:tc>
          <w:tcPr>
            <w:tcW w:w="1815" w:type="dxa"/>
            <w:noWrap w:val="0"/>
            <w:vAlign w:val="top"/>
          </w:tcPr>
          <w:p w14:paraId="1AF7AC28">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资格审查要求概况</w:t>
            </w:r>
          </w:p>
        </w:tc>
        <w:tc>
          <w:tcPr>
            <w:tcW w:w="7516" w:type="dxa"/>
            <w:noWrap w:val="0"/>
            <w:vAlign w:val="top"/>
          </w:tcPr>
          <w:p w14:paraId="562784A4">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评审点具体描述</w:t>
            </w:r>
          </w:p>
        </w:tc>
      </w:tr>
      <w:tr w14:paraId="2142E7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2" w:type="dxa"/>
            <w:noWrap w:val="0"/>
            <w:vAlign w:val="center"/>
          </w:tcPr>
          <w:p w14:paraId="2BF65D9B">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1815" w:type="dxa"/>
            <w:noWrap w:val="0"/>
            <w:vAlign w:val="top"/>
          </w:tcPr>
          <w:p w14:paraId="685D3BA4">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磋商响应声明</w:t>
            </w:r>
          </w:p>
        </w:tc>
        <w:tc>
          <w:tcPr>
            <w:tcW w:w="7516" w:type="dxa"/>
            <w:noWrap w:val="0"/>
            <w:vAlign w:val="top"/>
          </w:tcPr>
          <w:p w14:paraId="516E7FAF">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详见声明函</w:t>
            </w:r>
          </w:p>
        </w:tc>
      </w:tr>
      <w:tr w14:paraId="279F0F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2" w:type="dxa"/>
            <w:noWrap w:val="0"/>
            <w:vAlign w:val="center"/>
          </w:tcPr>
          <w:p w14:paraId="383C7775">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1815" w:type="dxa"/>
            <w:noWrap w:val="0"/>
            <w:vAlign w:val="top"/>
          </w:tcPr>
          <w:p w14:paraId="7233A9D4">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单位负责人授权书</w:t>
            </w:r>
          </w:p>
        </w:tc>
        <w:tc>
          <w:tcPr>
            <w:tcW w:w="7516" w:type="dxa"/>
            <w:noWrap w:val="0"/>
            <w:vAlign w:val="top"/>
          </w:tcPr>
          <w:p w14:paraId="155F0FD7">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①供应商（自然人除外）：若供应商代表为单位授权的委托代理人，应提供本授权书；若供应商代表为单位负责人，应在此项下提交其身份证正反面复印件，可不提供本授权书。②供应商为自然人的，可不填写本授权书。</w:t>
            </w:r>
          </w:p>
        </w:tc>
      </w:tr>
      <w:tr w14:paraId="75AF95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2" w:type="dxa"/>
            <w:noWrap w:val="0"/>
            <w:vAlign w:val="center"/>
          </w:tcPr>
          <w:p w14:paraId="1C81254A">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1815" w:type="dxa"/>
            <w:noWrap w:val="0"/>
            <w:vAlign w:val="top"/>
          </w:tcPr>
          <w:p w14:paraId="1E88CC8E">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营业执照等证明文件</w:t>
            </w:r>
          </w:p>
        </w:tc>
        <w:tc>
          <w:tcPr>
            <w:tcW w:w="7516" w:type="dxa"/>
            <w:noWrap w:val="0"/>
            <w:vAlign w:val="top"/>
          </w:tcPr>
          <w:p w14:paraId="5A7E5B29">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tc>
      </w:tr>
      <w:tr w14:paraId="4EB740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2" w:type="dxa"/>
            <w:noWrap w:val="0"/>
            <w:vAlign w:val="center"/>
          </w:tcPr>
          <w:p w14:paraId="53027807">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p>
        </w:tc>
        <w:tc>
          <w:tcPr>
            <w:tcW w:w="1815" w:type="dxa"/>
            <w:noWrap w:val="0"/>
            <w:vAlign w:val="top"/>
          </w:tcPr>
          <w:p w14:paraId="5D983F51">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提供财务状况报告（财务报告、或资信证明）</w:t>
            </w:r>
          </w:p>
        </w:tc>
        <w:tc>
          <w:tcPr>
            <w:tcW w:w="7516" w:type="dxa"/>
            <w:noWrap w:val="0"/>
            <w:vAlign w:val="top"/>
          </w:tcPr>
          <w:p w14:paraId="7975682C">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①供应商提供的财务报告复印件（成立年限按照提交响应文件截止时间推算）应符合下列规定：a.成立年限满1年及以上的供应商，提供经审计的上一年度的年度财务报告。b.成立年限满半年但不足1年的供应商，提供该半年度中任一季度的季度财务报告或该半年度的半年度财务报告。c.无法按照以上a、b项规定提供财务报告复印件的供应商（包括但不限于：成立年限满1年及以上的供应商、成立年限满半年但不足1年的供应商、成立年限不足半年的供应商），应选择提供资信证明复印件。</w:t>
            </w:r>
          </w:p>
        </w:tc>
      </w:tr>
      <w:tr w14:paraId="625F9D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2" w:type="dxa"/>
            <w:noWrap w:val="0"/>
            <w:vAlign w:val="center"/>
          </w:tcPr>
          <w:p w14:paraId="05BD816B">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p>
        </w:tc>
        <w:tc>
          <w:tcPr>
            <w:tcW w:w="1815" w:type="dxa"/>
            <w:noWrap w:val="0"/>
            <w:vAlign w:val="top"/>
          </w:tcPr>
          <w:p w14:paraId="153E1CAD">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依法缴纳税收证明材料</w:t>
            </w:r>
          </w:p>
        </w:tc>
        <w:tc>
          <w:tcPr>
            <w:tcW w:w="7516" w:type="dxa"/>
            <w:noWrap w:val="0"/>
            <w:vAlign w:val="top"/>
          </w:tcPr>
          <w:p w14:paraId="453961D8">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①供应商提供的税收缴纳凭据复印件应符合下列规定：a.提交响应文件截止时间前（不含提交响应文件截止时间的当月）已依法缴纳税收的供应商，提供提交响应文件截止时间前六个月（不含提交响应文件截止时间的当月）中任一月份的税收缴纳凭据复印件。b.提交响应文件截止时间的当月成立的供应商,视同满足本项资格条件要求。c.若为依法免税范围的供应商，提供依法免税证明材料的，视同满足本项资格条件要求。</w:t>
            </w:r>
          </w:p>
        </w:tc>
      </w:tr>
      <w:tr w14:paraId="510E8B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2" w:type="dxa"/>
            <w:noWrap w:val="0"/>
            <w:vAlign w:val="center"/>
          </w:tcPr>
          <w:p w14:paraId="4B3B809B">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w:t>
            </w:r>
          </w:p>
        </w:tc>
        <w:tc>
          <w:tcPr>
            <w:tcW w:w="1815" w:type="dxa"/>
            <w:noWrap w:val="0"/>
            <w:vAlign w:val="top"/>
          </w:tcPr>
          <w:p w14:paraId="4CA47F3F">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依法缴纳社会保障资金证明材料</w:t>
            </w:r>
          </w:p>
        </w:tc>
        <w:tc>
          <w:tcPr>
            <w:tcW w:w="7516" w:type="dxa"/>
            <w:noWrap w:val="0"/>
            <w:vAlign w:val="top"/>
          </w:tcPr>
          <w:p w14:paraId="11EF2AD0">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①供应商提供的社会保障资金缴纳凭据复印件应符合下列规定：a.提交响应文件截止时间前（不含提交响应文件截止时间的当月）已依法缴纳社会保障资金的供应商，提供提交响应文件截止时间前六个月（不含提交响应文件截止时间的当月）中任一月份的社会保障资金缴纳凭据复印件。b.提交响应文件截止时间的当月成立的供应商，视同满足本项资格条件要求。c.若为依法不需要缴纳或暂缓缴纳社会保障资金的供应商，提供依法不需要缴纳或暂缓缴纳社会保障资金证明材料的，视同满足本项资格条件要求。</w:t>
            </w:r>
          </w:p>
        </w:tc>
      </w:tr>
      <w:tr w14:paraId="33369F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2" w:type="dxa"/>
            <w:noWrap w:val="0"/>
            <w:vAlign w:val="center"/>
          </w:tcPr>
          <w:p w14:paraId="392AC12A">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w:t>
            </w:r>
          </w:p>
        </w:tc>
        <w:tc>
          <w:tcPr>
            <w:tcW w:w="1815" w:type="dxa"/>
            <w:noWrap w:val="0"/>
            <w:vAlign w:val="top"/>
          </w:tcPr>
          <w:p w14:paraId="7CC97370">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具备履行合同所必需设备和专业技术能力的声明函(若有)</w:t>
            </w:r>
          </w:p>
        </w:tc>
        <w:tc>
          <w:tcPr>
            <w:tcW w:w="7516" w:type="dxa"/>
            <w:noWrap w:val="0"/>
            <w:vAlign w:val="top"/>
          </w:tcPr>
          <w:p w14:paraId="180D73C1">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①采购文件未要求供应商提供“具备履行合同所必需的设备和专业技术能力专项证明材料”的，供应商应提供本声明函。②采购文件要求供应商提供“具备履行合同所必需的设备和专业技术能力专项证明材料”的，供应商可不提供本声明函。</w:t>
            </w:r>
          </w:p>
        </w:tc>
      </w:tr>
      <w:tr w14:paraId="701609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2" w:type="dxa"/>
            <w:noWrap w:val="0"/>
            <w:vAlign w:val="center"/>
          </w:tcPr>
          <w:p w14:paraId="5B4F0570">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8</w:t>
            </w:r>
          </w:p>
        </w:tc>
        <w:tc>
          <w:tcPr>
            <w:tcW w:w="1815" w:type="dxa"/>
            <w:noWrap w:val="0"/>
            <w:vAlign w:val="top"/>
          </w:tcPr>
          <w:p w14:paraId="7DDD8D3C">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参加采购活动前三年内在经营活动中没有重大违法记录的声明</w:t>
            </w:r>
          </w:p>
        </w:tc>
        <w:tc>
          <w:tcPr>
            <w:tcW w:w="7516" w:type="dxa"/>
            <w:noWrap w:val="0"/>
            <w:vAlign w:val="top"/>
          </w:tcPr>
          <w:p w14:paraId="394BE8FD">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1DF14C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2" w:type="dxa"/>
            <w:noWrap w:val="0"/>
            <w:vAlign w:val="center"/>
          </w:tcPr>
          <w:p w14:paraId="375C15AA">
            <w:pPr>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9</w:t>
            </w:r>
          </w:p>
        </w:tc>
        <w:tc>
          <w:tcPr>
            <w:tcW w:w="1815" w:type="dxa"/>
            <w:noWrap w:val="0"/>
            <w:vAlign w:val="top"/>
          </w:tcPr>
          <w:p w14:paraId="3DDBEC66">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信用记录查询结果</w:t>
            </w:r>
          </w:p>
        </w:tc>
        <w:tc>
          <w:tcPr>
            <w:tcW w:w="7516" w:type="dxa"/>
            <w:noWrap w:val="0"/>
            <w:vAlign w:val="top"/>
          </w:tcPr>
          <w:p w14:paraId="07F5DF38">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①信用记录查询的截止时点：信用记录查询的截止时点为本项目提交响应文件截止当日。②信用记录查询渠道：信用中国（www.creditchina.gov.cn）、中国政府采购网（www.ccgp.gov.cn）。③信用记录的查询：由磋商小组通过上述网站查询并打印供应商的信用记录。④经查询，供应商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bl>
    <w:p w14:paraId="7A51217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p>
    <w:p w14:paraId="400768E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.2特定条件：</w:t>
      </w:r>
    </w:p>
    <w:p w14:paraId="3EE4254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包：1</w:t>
      </w:r>
    </w:p>
    <w:tbl>
      <w:tblPr>
        <w:tblStyle w:val="16"/>
        <w:tblW w:w="10055"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2510"/>
        <w:gridCol w:w="7545"/>
      </w:tblGrid>
      <w:tr w14:paraId="5F9E23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blCellSpacing w:w="0" w:type="dxa"/>
          <w:jc w:val="center"/>
        </w:trPr>
        <w:tc>
          <w:tcPr>
            <w:tcW w:w="2510" w:type="dxa"/>
            <w:tcBorders>
              <w:top w:val="outset" w:color="auto" w:sz="6" w:space="0"/>
              <w:left w:val="outset" w:color="auto" w:sz="6" w:space="0"/>
              <w:bottom w:val="outset" w:color="auto" w:sz="6" w:space="0"/>
              <w:right w:val="outset" w:color="auto" w:sz="6" w:space="0"/>
            </w:tcBorders>
            <w:noWrap w:val="0"/>
            <w:vAlign w:val="center"/>
          </w:tcPr>
          <w:p w14:paraId="5DCE62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明细</w:t>
            </w:r>
          </w:p>
        </w:tc>
        <w:tc>
          <w:tcPr>
            <w:tcW w:w="7545" w:type="dxa"/>
            <w:tcBorders>
              <w:top w:val="outset" w:color="auto" w:sz="6" w:space="0"/>
              <w:left w:val="outset" w:color="auto" w:sz="6" w:space="0"/>
              <w:bottom w:val="outset" w:color="auto" w:sz="6" w:space="0"/>
              <w:right w:val="outset" w:color="auto" w:sz="6" w:space="0"/>
            </w:tcBorders>
            <w:noWrap w:val="0"/>
            <w:vAlign w:val="center"/>
          </w:tcPr>
          <w:p w14:paraId="23861D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描述</w:t>
            </w:r>
          </w:p>
        </w:tc>
      </w:tr>
      <w:tr w14:paraId="2B1CFD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510" w:type="dxa"/>
            <w:tcBorders>
              <w:top w:val="outset" w:color="auto" w:sz="6" w:space="0"/>
              <w:left w:val="outset" w:color="auto" w:sz="6" w:space="0"/>
              <w:bottom w:val="outset" w:color="auto" w:sz="6" w:space="0"/>
              <w:right w:val="outset" w:color="auto" w:sz="6" w:space="0"/>
            </w:tcBorders>
            <w:noWrap w:val="0"/>
            <w:vAlign w:val="center"/>
          </w:tcPr>
          <w:p w14:paraId="07FD6668">
            <w:pPr>
              <w:pStyle w:val="42"/>
              <w:spacing w:line="360" w:lineRule="auto"/>
              <w:jc w:val="center"/>
              <w:rPr>
                <w:rFonts w:hint="eastAsia" w:asciiTheme="minorEastAsia" w:hAnsiTheme="minorEastAsia" w:eastAsiaTheme="minorEastAsia" w:cstheme="minorEastAsia"/>
                <w:color w:val="auto"/>
                <w:kern w:val="0"/>
                <w:sz w:val="21"/>
                <w:szCs w:val="21"/>
                <w:highlight w:val="none"/>
                <w:lang w:val="en-US" w:eastAsia="zh-CN" w:bidi="ar"/>
              </w:rPr>
            </w:pPr>
            <w:r>
              <w:rPr>
                <w:rFonts w:hint="eastAsia" w:asciiTheme="minorEastAsia" w:hAnsiTheme="minorEastAsia" w:eastAsiaTheme="minorEastAsia" w:cstheme="minorEastAsia"/>
                <w:color w:val="auto"/>
                <w:kern w:val="0"/>
                <w:sz w:val="21"/>
                <w:szCs w:val="21"/>
                <w:highlight w:val="none"/>
                <w:lang w:val="en-US" w:eastAsia="zh-CN" w:bidi="ar"/>
              </w:rPr>
              <w:t>资格承诺函</w:t>
            </w:r>
          </w:p>
        </w:tc>
        <w:tc>
          <w:tcPr>
            <w:tcW w:w="7545" w:type="dxa"/>
            <w:tcBorders>
              <w:top w:val="outset" w:color="auto" w:sz="6" w:space="0"/>
              <w:left w:val="outset" w:color="auto" w:sz="6" w:space="0"/>
              <w:bottom w:val="outset" w:color="auto" w:sz="6" w:space="0"/>
              <w:right w:val="outset" w:color="auto" w:sz="6" w:space="0"/>
            </w:tcBorders>
            <w:noWrap w:val="0"/>
            <w:vAlign w:val="top"/>
          </w:tcPr>
          <w:p w14:paraId="5FA00A42">
            <w:pPr>
              <w:pStyle w:val="42"/>
              <w:spacing w:line="360" w:lineRule="auto"/>
              <w:jc w:val="left"/>
              <w:rPr>
                <w:rFonts w:hint="eastAsia" w:asciiTheme="minorEastAsia" w:hAnsiTheme="minorEastAsia" w:eastAsiaTheme="minorEastAsia" w:cstheme="minorEastAsia"/>
                <w:color w:val="auto"/>
                <w:kern w:val="0"/>
                <w:sz w:val="21"/>
                <w:szCs w:val="21"/>
                <w:highlight w:val="none"/>
                <w:lang w:val="en-US" w:eastAsia="zh-CN" w:bidi="ar"/>
              </w:rPr>
            </w:pPr>
            <w:r>
              <w:rPr>
                <w:rFonts w:hint="eastAsia" w:asciiTheme="minorEastAsia" w:hAnsiTheme="minorEastAsia" w:eastAsiaTheme="minorEastAsia" w:cstheme="minorEastAsia"/>
                <w:color w:val="auto"/>
                <w:kern w:val="0"/>
                <w:sz w:val="21"/>
                <w:szCs w:val="21"/>
                <w:highlight w:val="none"/>
                <w:lang w:val="en-US" w:eastAsia="zh-CN" w:bidi="ar"/>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1920AD4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4</w:t>
      </w:r>
      <w:r>
        <w:rPr>
          <w:rFonts w:hint="eastAsia" w:asciiTheme="minorEastAsia" w:hAnsiTheme="minorEastAsia" w:eastAsiaTheme="minorEastAsia" w:cstheme="minorEastAsia"/>
          <w:color w:val="auto"/>
          <w:highlight w:val="none"/>
        </w:rPr>
        <w:t>.3是否接受联合体形式的响应磋商：不接受</w:t>
      </w:r>
    </w:p>
    <w:p w14:paraId="6399264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2" w:firstLineChars="200"/>
        <w:textAlignment w:val="auto"/>
        <w:rPr>
          <w:rFonts w:hint="eastAsia" w:asciiTheme="minorEastAsia" w:hAnsiTheme="minorEastAsia" w:eastAsiaTheme="minorEastAsia" w:cstheme="minorEastAsia"/>
          <w:color w:val="auto"/>
          <w:sz w:val="24"/>
          <w:szCs w:val="24"/>
          <w:highlight w:val="none"/>
        </w:rPr>
      </w:pPr>
      <w:r>
        <w:rPr>
          <w:rStyle w:val="19"/>
          <w:rFonts w:hint="eastAsia" w:asciiTheme="minorEastAsia" w:hAnsiTheme="minorEastAsia" w:eastAsiaTheme="minorEastAsia" w:cstheme="minorEastAsia"/>
          <w:color w:val="auto"/>
          <w:sz w:val="24"/>
          <w:szCs w:val="24"/>
          <w:highlight w:val="none"/>
        </w:rPr>
        <w:t>根据上述资格要求，供应商响应文件中应提交的“资格证明文件”相关规定和资料要求，详见竞争性磋商须知前附表和磋商文件第五章。</w:t>
      </w:r>
    </w:p>
    <w:p w14:paraId="150CB634">
      <w:pPr>
        <w:pStyle w:val="13"/>
        <w:widowControl/>
        <w:spacing w:before="0" w:beforeAutospacing="0" w:after="0" w:afterAutospacing="0"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5</w:t>
      </w:r>
      <w:r>
        <w:rPr>
          <w:rFonts w:hint="eastAsia" w:asciiTheme="minorEastAsia" w:hAnsiTheme="minorEastAsia" w:eastAsiaTheme="minorEastAsia" w:cstheme="minorEastAsia"/>
          <w:color w:val="auto"/>
          <w:highlight w:val="none"/>
        </w:rPr>
        <w:t>.获取磋商文件时间、地点、方式：时间：</w:t>
      </w:r>
      <w:r>
        <w:rPr>
          <w:rFonts w:hint="eastAsia" w:asciiTheme="minorEastAsia" w:hAnsiTheme="minorEastAsia" w:eastAsiaTheme="minorEastAsia" w:cstheme="minorEastAsia"/>
          <w:color w:val="auto"/>
          <w:highlight w:val="none"/>
          <w:u w:val="single"/>
        </w:rPr>
        <w:t>202</w:t>
      </w:r>
      <w:r>
        <w:rPr>
          <w:rFonts w:hint="eastAsia" w:asciiTheme="minorEastAsia" w:hAnsiTheme="minorEastAsia" w:eastAsiaTheme="minorEastAsia" w:cstheme="minorEastAsia"/>
          <w:color w:val="auto"/>
          <w:highlight w:val="none"/>
          <w:u w:val="single"/>
          <w:lang w:val="en-US" w:eastAsia="zh-CN"/>
        </w:rPr>
        <w:t>6</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lang w:val="en-US" w:eastAsia="zh-CN"/>
        </w:rPr>
        <w:t>10</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lang w:val="en-US" w:eastAsia="zh-CN"/>
        </w:rPr>
        <w:t xml:space="preserve"> 19 </w:t>
      </w:r>
      <w:r>
        <w:rPr>
          <w:rFonts w:hint="eastAsia" w:asciiTheme="minorEastAsia" w:hAnsiTheme="minorEastAsia" w:eastAsiaTheme="minorEastAsia" w:cstheme="minorEastAsia"/>
          <w:color w:val="auto"/>
          <w:highlight w:val="none"/>
        </w:rPr>
        <w:t>日至</w:t>
      </w:r>
      <w:r>
        <w:rPr>
          <w:rFonts w:hint="eastAsia" w:asciiTheme="minorEastAsia" w:hAnsiTheme="minorEastAsia" w:eastAsiaTheme="minorEastAsia" w:cstheme="minorEastAsia"/>
          <w:color w:val="auto"/>
          <w:highlight w:val="none"/>
          <w:u w:val="single"/>
        </w:rPr>
        <w:t>20</w:t>
      </w:r>
      <w:r>
        <w:rPr>
          <w:rFonts w:hint="eastAsia" w:asciiTheme="minorEastAsia" w:hAnsiTheme="minorEastAsia" w:eastAsiaTheme="minorEastAsia" w:cstheme="minorEastAsia"/>
          <w:color w:val="auto"/>
          <w:highlight w:val="none"/>
          <w:u w:val="single"/>
          <w:lang w:val="en-US" w:eastAsia="zh-CN"/>
        </w:rPr>
        <w:t>26</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lang w:val="en-US" w:eastAsia="zh-CN"/>
        </w:rPr>
        <w:t>10</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lang w:val="en-US" w:eastAsia="zh-CN"/>
        </w:rPr>
        <w:t xml:space="preserve"> 29 </w:t>
      </w:r>
      <w:r>
        <w:rPr>
          <w:rFonts w:hint="eastAsia" w:asciiTheme="minorEastAsia" w:hAnsiTheme="minorEastAsia" w:eastAsiaTheme="minorEastAsia" w:cstheme="minorEastAsia"/>
          <w:color w:val="auto"/>
          <w:highlight w:val="none"/>
        </w:rPr>
        <w:t>日</w:t>
      </w:r>
      <w:r>
        <w:rPr>
          <w:rFonts w:hint="eastAsia" w:asciiTheme="minorEastAsia" w:hAnsiTheme="minorEastAsia" w:eastAsiaTheme="minorEastAsia" w:cstheme="minorEastAsia"/>
          <w:color w:val="auto"/>
          <w:highlight w:val="none"/>
        </w:rPr>
        <w:t>（节假日除外）每天8:30～12:00时，14:30～17:00时(北京时间，下同)</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shd w:val="clear" w:color="auto" w:fill="FFFFFF"/>
        </w:rPr>
        <w:t>报名期限内，</w:t>
      </w:r>
      <w:r>
        <w:rPr>
          <w:rFonts w:hint="eastAsia" w:asciiTheme="minorEastAsia" w:hAnsiTheme="minorEastAsia" w:eastAsiaTheme="minorEastAsia" w:cstheme="minorEastAsia"/>
          <w:color w:val="auto"/>
          <w:highlight w:val="none"/>
        </w:rPr>
        <w:t>供应商报名并购买</w:t>
      </w:r>
      <w:r>
        <w:rPr>
          <w:rFonts w:hint="eastAsia" w:asciiTheme="minorEastAsia" w:hAnsiTheme="minorEastAsia" w:eastAsiaTheme="minorEastAsia" w:cstheme="minorEastAsia"/>
          <w:color w:val="auto"/>
          <w:highlight w:val="none"/>
          <w:lang w:val="en-US" w:eastAsia="zh-CN"/>
        </w:rPr>
        <w:t>磋商</w:t>
      </w:r>
      <w:r>
        <w:rPr>
          <w:rFonts w:hint="eastAsia" w:asciiTheme="minorEastAsia" w:hAnsiTheme="minorEastAsia" w:eastAsiaTheme="minorEastAsia" w:cstheme="minorEastAsia"/>
          <w:color w:val="auto"/>
          <w:highlight w:val="none"/>
        </w:rPr>
        <w:t>文件</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shd w:val="clear" w:color="auto" w:fill="FFFFFF"/>
        </w:rPr>
        <w:t>未购买或逾期购买</w:t>
      </w:r>
      <w:r>
        <w:rPr>
          <w:rFonts w:hint="eastAsia" w:asciiTheme="minorEastAsia" w:hAnsiTheme="minorEastAsia" w:eastAsiaTheme="minorEastAsia" w:cstheme="minorEastAsia"/>
          <w:color w:val="auto"/>
          <w:highlight w:val="none"/>
          <w:shd w:val="clear" w:color="auto" w:fill="FFFFFF"/>
          <w:lang w:eastAsia="zh-CN"/>
        </w:rPr>
        <w:t>磋商文件</w:t>
      </w:r>
      <w:r>
        <w:rPr>
          <w:rFonts w:hint="eastAsia" w:asciiTheme="minorEastAsia" w:hAnsiTheme="minorEastAsia" w:eastAsiaTheme="minorEastAsia" w:cstheme="minorEastAsia"/>
          <w:color w:val="auto"/>
          <w:highlight w:val="none"/>
          <w:shd w:val="clear" w:color="auto" w:fill="FFFFFF"/>
        </w:rPr>
        <w:t>的</w:t>
      </w:r>
      <w:r>
        <w:rPr>
          <w:rFonts w:hint="eastAsia" w:asciiTheme="minorEastAsia" w:hAnsiTheme="minorEastAsia" w:eastAsiaTheme="minorEastAsia" w:cstheme="minorEastAsia"/>
          <w:color w:val="auto"/>
          <w:highlight w:val="none"/>
          <w:shd w:val="clear" w:color="auto" w:fill="FFFFFF"/>
          <w:lang w:eastAsia="zh-CN"/>
        </w:rPr>
        <w:t>供应商</w:t>
      </w:r>
      <w:r>
        <w:rPr>
          <w:rFonts w:hint="eastAsia" w:asciiTheme="minorEastAsia" w:hAnsiTheme="minorEastAsia" w:eastAsiaTheme="minorEastAsia" w:cstheme="minorEastAsia"/>
          <w:color w:val="auto"/>
          <w:highlight w:val="none"/>
          <w:shd w:val="clear" w:color="auto" w:fill="FFFFFF"/>
        </w:rPr>
        <w:t>，其响应文件将被拒绝。购买</w:t>
      </w:r>
      <w:r>
        <w:rPr>
          <w:rFonts w:hint="eastAsia" w:asciiTheme="minorEastAsia" w:hAnsiTheme="minorEastAsia" w:eastAsiaTheme="minorEastAsia" w:cstheme="minorEastAsia"/>
          <w:color w:val="auto"/>
          <w:highlight w:val="none"/>
          <w:shd w:val="clear" w:color="auto" w:fill="FFFFFF"/>
          <w:lang w:eastAsia="zh-CN"/>
        </w:rPr>
        <w:t>磋商文件</w:t>
      </w:r>
      <w:r>
        <w:rPr>
          <w:rFonts w:hint="eastAsia" w:asciiTheme="minorEastAsia" w:hAnsiTheme="minorEastAsia" w:eastAsiaTheme="minorEastAsia" w:cstheme="minorEastAsia"/>
          <w:color w:val="auto"/>
          <w:highlight w:val="none"/>
          <w:shd w:val="clear" w:color="auto" w:fill="FFFFFF"/>
        </w:rPr>
        <w:t>时的公司名称应与</w:t>
      </w:r>
      <w:r>
        <w:rPr>
          <w:rFonts w:hint="eastAsia" w:asciiTheme="minorEastAsia" w:hAnsiTheme="minorEastAsia" w:eastAsiaTheme="minorEastAsia" w:cstheme="minorEastAsia"/>
          <w:color w:val="auto"/>
          <w:highlight w:val="none"/>
          <w:shd w:val="clear" w:color="auto" w:fill="FFFFFF"/>
          <w:lang w:val="en-US" w:eastAsia="zh-CN"/>
        </w:rPr>
        <w:t>提交首次响应文件时</w:t>
      </w:r>
      <w:r>
        <w:rPr>
          <w:rFonts w:hint="eastAsia" w:asciiTheme="minorEastAsia" w:hAnsiTheme="minorEastAsia" w:eastAsiaTheme="minorEastAsia" w:cstheme="minorEastAsia"/>
          <w:color w:val="auto"/>
          <w:highlight w:val="none"/>
          <w:shd w:val="clear" w:color="auto" w:fill="FFFFFF"/>
        </w:rPr>
        <w:t>的公司名称一致。</w:t>
      </w:r>
      <w:r>
        <w:rPr>
          <w:rFonts w:hint="eastAsia" w:asciiTheme="minorEastAsia" w:hAnsiTheme="minorEastAsia" w:eastAsiaTheme="minorEastAsia" w:cstheme="minorEastAsia"/>
          <w:color w:val="auto"/>
          <w:highlight w:val="none"/>
        </w:rPr>
        <w:t>每份</w:t>
      </w:r>
      <w:r>
        <w:rPr>
          <w:rFonts w:hint="eastAsia" w:asciiTheme="minorEastAsia" w:hAnsiTheme="minorEastAsia" w:eastAsiaTheme="minorEastAsia" w:cstheme="minorEastAsia"/>
          <w:color w:val="auto"/>
          <w:highlight w:val="none"/>
          <w:lang w:val="en-US" w:eastAsia="zh-CN"/>
        </w:rPr>
        <w:t>磋商</w:t>
      </w:r>
      <w:r>
        <w:rPr>
          <w:rFonts w:hint="eastAsia" w:asciiTheme="minorEastAsia" w:hAnsiTheme="minorEastAsia" w:eastAsiaTheme="minorEastAsia" w:cstheme="minorEastAsia"/>
          <w:color w:val="auto"/>
          <w:highlight w:val="none"/>
        </w:rPr>
        <w:t>文件200元，售后不退。如需邮寄，快递费自付（对邮寄过程中可能发生的延误或丢失，招标代理机构概不负责）。</w:t>
      </w:r>
    </w:p>
    <w:p w14:paraId="3277F6C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shd w:val="clear" w:color="auto" w:fill="FFFFFF"/>
          <w:lang w:val="en-US" w:eastAsia="zh-CN"/>
        </w:rPr>
        <w:t>5</w:t>
      </w:r>
      <w:r>
        <w:rPr>
          <w:rFonts w:hint="eastAsia" w:asciiTheme="minorEastAsia" w:hAnsiTheme="minorEastAsia" w:eastAsiaTheme="minorEastAsia" w:cstheme="minorEastAsia"/>
          <w:color w:val="auto"/>
          <w:highlight w:val="none"/>
          <w:shd w:val="clear" w:color="auto" w:fill="FFFFFF"/>
        </w:rPr>
        <w:t>.1如果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shd w:val="clear" w:color="auto" w:fill="FFFFFF"/>
        </w:rPr>
        <w:t>过程中有发出更正公告，</w:t>
      </w:r>
      <w:r>
        <w:rPr>
          <w:rFonts w:hint="eastAsia" w:asciiTheme="minorEastAsia" w:hAnsiTheme="minorEastAsia" w:eastAsiaTheme="minorEastAsia" w:cstheme="minorEastAsia"/>
          <w:color w:val="auto"/>
          <w:highlight w:val="none"/>
          <w:shd w:val="clear" w:color="auto" w:fill="FFFFFF"/>
          <w:lang w:eastAsia="zh-CN"/>
        </w:rPr>
        <w:t>采购人</w:t>
      </w:r>
      <w:r>
        <w:rPr>
          <w:rFonts w:hint="eastAsia" w:asciiTheme="minorEastAsia" w:hAnsiTheme="minorEastAsia" w:eastAsiaTheme="minorEastAsia" w:cstheme="minorEastAsia"/>
          <w:color w:val="auto"/>
          <w:highlight w:val="none"/>
          <w:shd w:val="clear" w:color="auto" w:fill="FFFFFF"/>
        </w:rPr>
        <w:t>将根据实际情况确定是否延长报名期限，则报名截止时间以更正公告中的约定为准。</w:t>
      </w:r>
    </w:p>
    <w:p w14:paraId="75CED1FB">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spacing w:val="0"/>
          <w:sz w:val="24"/>
          <w:szCs w:val="24"/>
          <w:highlight w:val="none"/>
          <w:lang w:val="en-US" w:eastAsia="zh-CN"/>
        </w:rPr>
        <w:t>6</w:t>
      </w:r>
      <w:r>
        <w:rPr>
          <w:rFonts w:hint="eastAsia" w:asciiTheme="minorEastAsia" w:hAnsiTheme="minorEastAsia" w:eastAsiaTheme="minorEastAsia" w:cstheme="minorEastAsia"/>
          <w:color w:val="auto"/>
          <w:spacing w:val="0"/>
          <w:sz w:val="24"/>
          <w:szCs w:val="24"/>
          <w:highlight w:val="none"/>
        </w:rPr>
        <w:t>.首次响应文件递交截止时间及地点：</w:t>
      </w:r>
      <w:r>
        <w:rPr>
          <w:rFonts w:hint="eastAsia" w:asciiTheme="minorEastAsia" w:hAnsiTheme="minorEastAsia" w:eastAsiaTheme="minorEastAsia" w:cstheme="minorEastAsia"/>
          <w:color w:val="auto"/>
          <w:sz w:val="24"/>
          <w:highlight w:val="none"/>
          <w:u w:val="single"/>
        </w:rPr>
        <w:t>202</w:t>
      </w:r>
      <w:r>
        <w:rPr>
          <w:rFonts w:hint="eastAsia" w:asciiTheme="minorEastAsia" w:hAnsiTheme="minorEastAsia" w:eastAsiaTheme="minorEastAsia" w:cstheme="minorEastAsia"/>
          <w:color w:val="auto"/>
          <w:sz w:val="24"/>
          <w:highlight w:val="none"/>
          <w:u w:val="single"/>
          <w:lang w:val="en-US" w:eastAsia="zh-CN"/>
        </w:rPr>
        <w:t>6</w:t>
      </w:r>
      <w:r>
        <w:rPr>
          <w:rFonts w:hint="eastAsia" w:asciiTheme="minorEastAsia" w:hAnsiTheme="minorEastAsia" w:eastAsiaTheme="minorEastAsia" w:cstheme="minorEastAsia"/>
          <w:color w:val="auto"/>
          <w:sz w:val="24"/>
          <w:highlight w:val="none"/>
        </w:rPr>
        <w:t>年</w:t>
      </w:r>
      <w:r>
        <w:rPr>
          <w:rFonts w:hint="eastAsia" w:asciiTheme="minorEastAsia" w:hAnsiTheme="minorEastAsia" w:eastAsiaTheme="minorEastAsia" w:cstheme="minorEastAsia"/>
          <w:color w:val="auto"/>
          <w:sz w:val="24"/>
          <w:highlight w:val="none"/>
          <w:u w:val="single"/>
          <w:lang w:val="en-US" w:eastAsia="zh-CN"/>
        </w:rPr>
        <w:t>10</w:t>
      </w:r>
      <w:r>
        <w:rPr>
          <w:rFonts w:hint="eastAsia" w:asciiTheme="minorEastAsia" w:hAnsiTheme="minorEastAsia" w:eastAsiaTheme="minorEastAsia" w:cstheme="minorEastAsia"/>
          <w:color w:val="auto"/>
          <w:sz w:val="24"/>
          <w:highlight w:val="none"/>
        </w:rPr>
        <w:t>月</w:t>
      </w:r>
      <w:r>
        <w:rPr>
          <w:rFonts w:hint="eastAsia" w:asciiTheme="minorEastAsia" w:hAnsiTheme="minorEastAsia" w:eastAsiaTheme="minorEastAsia" w:cstheme="minorEastAsia"/>
          <w:color w:val="auto"/>
          <w:sz w:val="24"/>
          <w:highlight w:val="none"/>
          <w:u w:val="single"/>
          <w:lang w:val="en-US" w:eastAsia="zh-CN"/>
        </w:rPr>
        <w:t xml:space="preserve"> 30 </w:t>
      </w:r>
      <w:r>
        <w:rPr>
          <w:rFonts w:hint="eastAsia" w:asciiTheme="minorEastAsia" w:hAnsiTheme="minorEastAsia" w:eastAsiaTheme="minorEastAsia" w:cstheme="minorEastAsia"/>
          <w:color w:val="auto"/>
          <w:sz w:val="24"/>
          <w:highlight w:val="none"/>
        </w:rPr>
        <w:t>日</w:t>
      </w:r>
      <w:r>
        <w:rPr>
          <w:rFonts w:hint="eastAsia" w:asciiTheme="minorEastAsia" w:hAnsiTheme="minorEastAsia" w:eastAsiaTheme="minorEastAsia" w:cstheme="minorEastAsia"/>
          <w:color w:val="auto"/>
          <w:sz w:val="24"/>
          <w:highlight w:val="none"/>
          <w:u w:val="single"/>
        </w:rPr>
        <w:t>09</w:t>
      </w: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sz w:val="24"/>
          <w:highlight w:val="none"/>
          <w:u w:val="single"/>
        </w:rPr>
        <w:t>00</w:t>
      </w:r>
      <w:r>
        <w:rPr>
          <w:rFonts w:hint="eastAsia" w:asciiTheme="minorEastAsia" w:hAnsiTheme="minorEastAsia" w:eastAsiaTheme="minorEastAsia" w:cstheme="minorEastAsia"/>
          <w:color w:val="auto"/>
          <w:sz w:val="24"/>
          <w:highlight w:val="none"/>
        </w:rPr>
        <w:t>(北京时间)</w:t>
      </w:r>
      <w:r>
        <w:rPr>
          <w:rFonts w:hint="eastAsia" w:asciiTheme="minorEastAsia" w:hAnsiTheme="minorEastAsia" w:eastAsiaTheme="minorEastAsia" w:cstheme="minorEastAsia"/>
          <w:color w:val="auto"/>
          <w:spacing w:val="0"/>
          <w:sz w:val="24"/>
          <w:szCs w:val="24"/>
          <w:highlight w:val="none"/>
        </w:rPr>
        <w:t>（从磋商文件开始发出之日起至供应商提交首次响应文件截止之日止不得少于10日；（</w:t>
      </w:r>
      <w:r>
        <w:rPr>
          <w:rFonts w:hint="eastAsia" w:asciiTheme="minorEastAsia" w:hAnsiTheme="minorEastAsia" w:eastAsiaTheme="minorEastAsia" w:cstheme="minorEastAsia"/>
          <w:color w:val="auto"/>
          <w:spacing w:val="0"/>
          <w:sz w:val="24"/>
          <w:szCs w:val="24"/>
          <w:highlight w:val="none"/>
          <w:lang w:val="en-US" w:eastAsia="zh-CN"/>
        </w:rPr>
        <w:t>代理机构工作人员</w:t>
      </w:r>
      <w:r>
        <w:rPr>
          <w:rFonts w:hint="eastAsia" w:asciiTheme="minorEastAsia" w:hAnsiTheme="minorEastAsia" w:eastAsiaTheme="minorEastAsia" w:cstheme="minorEastAsia"/>
          <w:color w:val="auto"/>
          <w:spacing w:val="0"/>
          <w:sz w:val="24"/>
          <w:szCs w:val="24"/>
          <w:highlight w:val="none"/>
        </w:rPr>
        <w:t>将在截止时间前半小时开始签收</w:t>
      </w:r>
      <w:r>
        <w:rPr>
          <w:rFonts w:hint="eastAsia" w:asciiTheme="minorEastAsia" w:hAnsiTheme="minorEastAsia" w:eastAsiaTheme="minorEastAsia" w:cstheme="minorEastAsia"/>
          <w:color w:val="auto"/>
          <w:spacing w:val="0"/>
          <w:sz w:val="24"/>
          <w:szCs w:val="24"/>
          <w:highlight w:val="none"/>
          <w:lang w:val="en-US" w:eastAsia="zh-CN"/>
        </w:rPr>
        <w:t>响应</w:t>
      </w:r>
      <w:r>
        <w:rPr>
          <w:rFonts w:hint="eastAsia" w:asciiTheme="minorEastAsia" w:hAnsiTheme="minorEastAsia" w:eastAsiaTheme="minorEastAsia" w:cstheme="minorEastAsia"/>
          <w:color w:val="auto"/>
          <w:spacing w:val="0"/>
          <w:sz w:val="24"/>
          <w:szCs w:val="24"/>
          <w:highlight w:val="none"/>
        </w:rPr>
        <w:t>文件），不符合采购文件的规定或逾期收到的投标文件恕不接受。地点：龙岩学院三创楼505</w:t>
      </w:r>
      <w:r>
        <w:rPr>
          <w:rFonts w:hint="eastAsia" w:asciiTheme="minorEastAsia" w:hAnsiTheme="minorEastAsia" w:eastAsiaTheme="minorEastAsia" w:cstheme="minorEastAsia"/>
          <w:color w:val="auto"/>
          <w:spacing w:val="0"/>
          <w:sz w:val="24"/>
          <w:szCs w:val="24"/>
          <w:highlight w:val="none"/>
          <w:lang w:val="en-US" w:eastAsia="zh-CN"/>
        </w:rPr>
        <w:t>。</w:t>
      </w:r>
    </w:p>
    <w:p w14:paraId="11248177">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0"/>
        <w:textAlignment w:val="auto"/>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spacing w:val="0"/>
          <w:sz w:val="24"/>
          <w:szCs w:val="24"/>
          <w:highlight w:val="none"/>
        </w:rPr>
        <w:t>  </w:t>
      </w:r>
      <w:r>
        <w:rPr>
          <w:rFonts w:hint="eastAsia" w:asciiTheme="minorEastAsia" w:hAnsiTheme="minorEastAsia" w:eastAsiaTheme="minorEastAsia" w:cstheme="minorEastAsia"/>
          <w:color w:val="auto"/>
          <w:spacing w:val="0"/>
          <w:sz w:val="24"/>
          <w:szCs w:val="24"/>
          <w:highlight w:val="none"/>
          <w:lang w:val="en-US" w:eastAsia="zh-CN"/>
        </w:rPr>
        <w:t>7</w:t>
      </w:r>
      <w:r>
        <w:rPr>
          <w:rFonts w:hint="eastAsia" w:asciiTheme="minorEastAsia" w:hAnsiTheme="minorEastAsia" w:eastAsiaTheme="minorEastAsia" w:cstheme="minorEastAsia"/>
          <w:color w:val="auto"/>
          <w:spacing w:val="0"/>
          <w:sz w:val="24"/>
          <w:szCs w:val="24"/>
          <w:highlight w:val="none"/>
        </w:rPr>
        <w:t>.磋商时间及地点：</w:t>
      </w:r>
      <w:r>
        <w:rPr>
          <w:rFonts w:hint="eastAsia" w:asciiTheme="minorEastAsia" w:hAnsiTheme="minorEastAsia" w:eastAsiaTheme="minorEastAsia" w:cstheme="minorEastAsia"/>
          <w:color w:val="auto"/>
          <w:sz w:val="24"/>
          <w:highlight w:val="none"/>
          <w:u w:val="single"/>
        </w:rPr>
        <w:t>202</w:t>
      </w:r>
      <w:r>
        <w:rPr>
          <w:rFonts w:hint="eastAsia" w:asciiTheme="minorEastAsia" w:hAnsiTheme="minorEastAsia" w:eastAsiaTheme="minorEastAsia" w:cstheme="minorEastAsia"/>
          <w:color w:val="auto"/>
          <w:sz w:val="24"/>
          <w:highlight w:val="none"/>
          <w:u w:val="single"/>
          <w:lang w:val="en-US" w:eastAsia="zh-CN"/>
        </w:rPr>
        <w:t>6</w:t>
      </w:r>
      <w:r>
        <w:rPr>
          <w:rFonts w:hint="eastAsia" w:asciiTheme="minorEastAsia" w:hAnsiTheme="minorEastAsia" w:eastAsiaTheme="minorEastAsia" w:cstheme="minorEastAsia"/>
          <w:color w:val="auto"/>
          <w:sz w:val="24"/>
          <w:highlight w:val="none"/>
        </w:rPr>
        <w:t>年</w:t>
      </w:r>
      <w:r>
        <w:rPr>
          <w:rFonts w:hint="eastAsia" w:asciiTheme="minorEastAsia" w:hAnsiTheme="minorEastAsia" w:eastAsiaTheme="minorEastAsia" w:cstheme="minorEastAsia"/>
          <w:color w:val="auto"/>
          <w:sz w:val="24"/>
          <w:highlight w:val="none"/>
          <w:u w:val="single"/>
          <w:lang w:val="en-US" w:eastAsia="zh-CN"/>
        </w:rPr>
        <w:t>10</w:t>
      </w:r>
      <w:r>
        <w:rPr>
          <w:rFonts w:hint="eastAsia" w:asciiTheme="minorEastAsia" w:hAnsiTheme="minorEastAsia" w:eastAsiaTheme="minorEastAsia" w:cstheme="minorEastAsia"/>
          <w:color w:val="auto"/>
          <w:sz w:val="24"/>
          <w:highlight w:val="none"/>
        </w:rPr>
        <w:t>月</w:t>
      </w:r>
      <w:r>
        <w:rPr>
          <w:rFonts w:hint="eastAsia" w:asciiTheme="minorEastAsia" w:hAnsiTheme="minorEastAsia" w:eastAsiaTheme="minorEastAsia" w:cstheme="minorEastAsia"/>
          <w:color w:val="auto"/>
          <w:sz w:val="24"/>
          <w:highlight w:val="none"/>
          <w:u w:val="single"/>
          <w:lang w:val="en-US" w:eastAsia="zh-CN"/>
        </w:rPr>
        <w:t xml:space="preserve"> 30 </w:t>
      </w:r>
      <w:r>
        <w:rPr>
          <w:rFonts w:hint="eastAsia" w:asciiTheme="minorEastAsia" w:hAnsiTheme="minorEastAsia" w:eastAsiaTheme="minorEastAsia" w:cstheme="minorEastAsia"/>
          <w:color w:val="auto"/>
          <w:sz w:val="24"/>
          <w:highlight w:val="none"/>
        </w:rPr>
        <w:t>日</w:t>
      </w:r>
      <w:r>
        <w:rPr>
          <w:rFonts w:hint="eastAsia" w:asciiTheme="minorEastAsia" w:hAnsiTheme="minorEastAsia" w:eastAsiaTheme="minorEastAsia" w:cstheme="minorEastAsia"/>
          <w:color w:val="auto"/>
          <w:sz w:val="24"/>
          <w:highlight w:val="none"/>
          <w:u w:val="single"/>
        </w:rPr>
        <w:t>09</w:t>
      </w: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sz w:val="24"/>
          <w:highlight w:val="none"/>
          <w:u w:val="single"/>
        </w:rPr>
        <w:t>00</w:t>
      </w:r>
      <w:r>
        <w:rPr>
          <w:rFonts w:hint="eastAsia" w:asciiTheme="minorEastAsia" w:hAnsiTheme="minorEastAsia" w:eastAsiaTheme="minorEastAsia" w:cstheme="minorEastAsia"/>
          <w:color w:val="auto"/>
          <w:sz w:val="24"/>
          <w:highlight w:val="none"/>
        </w:rPr>
        <w:t>（北京时间）</w:t>
      </w:r>
      <w:r>
        <w:rPr>
          <w:rFonts w:hint="eastAsia" w:asciiTheme="minorEastAsia" w:hAnsiTheme="minorEastAsia" w:eastAsiaTheme="minorEastAsia" w:cstheme="minorEastAsia"/>
          <w:color w:val="auto"/>
          <w:sz w:val="24"/>
          <w:highlight w:val="none"/>
          <w:lang w:eastAsia="zh-CN"/>
        </w:rPr>
        <w:t>，地点</w:t>
      </w:r>
      <w:r>
        <w:rPr>
          <w:rFonts w:hint="eastAsia" w:asciiTheme="minorEastAsia" w:hAnsiTheme="minorEastAsia" w:eastAsiaTheme="minorEastAsia" w:cstheme="minorEastAsia"/>
          <w:color w:val="auto"/>
          <w:sz w:val="24"/>
          <w:highlight w:val="none"/>
          <w:lang w:val="en-US" w:eastAsia="zh-CN"/>
        </w:rPr>
        <w:t>:</w:t>
      </w:r>
      <w:r>
        <w:rPr>
          <w:rFonts w:hint="eastAsia" w:asciiTheme="minorEastAsia" w:hAnsiTheme="minorEastAsia" w:eastAsiaTheme="minorEastAsia" w:cstheme="minorEastAsia"/>
          <w:color w:val="auto"/>
          <w:spacing w:val="0"/>
          <w:sz w:val="24"/>
          <w:szCs w:val="24"/>
          <w:highlight w:val="none"/>
        </w:rPr>
        <w:t>龙岩学院三创楼505</w:t>
      </w:r>
      <w:r>
        <w:rPr>
          <w:rFonts w:hint="eastAsia" w:asciiTheme="minorEastAsia" w:hAnsiTheme="minorEastAsia" w:eastAsiaTheme="minorEastAsia" w:cstheme="minorEastAsia"/>
          <w:color w:val="auto"/>
          <w:highlight w:val="none"/>
          <w:lang w:eastAsia="zh-CN"/>
        </w:rPr>
        <w:t>。</w:t>
      </w:r>
    </w:p>
    <w:p w14:paraId="537368A6">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0"/>
        <w:textAlignment w:val="auto"/>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  </w:t>
      </w:r>
      <w:r>
        <w:rPr>
          <w:rFonts w:hint="eastAsia" w:asciiTheme="minorEastAsia" w:hAnsiTheme="minorEastAsia" w:eastAsiaTheme="minorEastAsia" w:cstheme="minorEastAsia"/>
          <w:color w:val="auto"/>
          <w:spacing w:val="0"/>
          <w:sz w:val="24"/>
          <w:szCs w:val="24"/>
          <w:highlight w:val="none"/>
          <w:lang w:val="en-US" w:eastAsia="zh-CN"/>
        </w:rPr>
        <w:t>8</w:t>
      </w:r>
      <w:r>
        <w:rPr>
          <w:rFonts w:hint="eastAsia" w:asciiTheme="minorEastAsia" w:hAnsiTheme="minorEastAsia" w:eastAsiaTheme="minorEastAsia" w:cstheme="minorEastAsia"/>
          <w:color w:val="auto"/>
          <w:spacing w:val="0"/>
          <w:sz w:val="24"/>
          <w:szCs w:val="24"/>
          <w:highlight w:val="none"/>
        </w:rPr>
        <w:t>.竞争性磋商公告期限：发布公告之日起3个工作日。</w:t>
      </w:r>
    </w:p>
    <w:p w14:paraId="2E804478">
      <w:pPr>
        <w:pStyle w:val="1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pacing w:val="0"/>
          <w:sz w:val="24"/>
          <w:szCs w:val="24"/>
          <w:highlight w:val="none"/>
          <w:lang w:val="en-US" w:eastAsia="zh-CN"/>
        </w:rPr>
        <w:t>9.</w:t>
      </w:r>
      <w:r>
        <w:rPr>
          <w:rFonts w:hint="eastAsia" w:asciiTheme="minorEastAsia" w:hAnsiTheme="minorEastAsia" w:eastAsiaTheme="minorEastAsia" w:cstheme="minorEastAsia"/>
          <w:color w:val="auto"/>
          <w:sz w:val="24"/>
          <w:highlight w:val="none"/>
        </w:rPr>
        <w:t>本采购项目相关信息在龙岩学院信息公开网（https://xxgk.lyun.edu.cn/index.htm）</w:t>
      </w: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b w:val="0"/>
          <w:bCs w:val="0"/>
          <w:color w:val="auto"/>
          <w:spacing w:val="0"/>
          <w:sz w:val="24"/>
          <w:szCs w:val="24"/>
          <w:highlight w:val="none"/>
          <w:u w:val="none"/>
          <w:lang w:eastAsia="zh-CN"/>
        </w:rPr>
        <w:t>龙岩市鑫达工程管理有限公司（</w:t>
      </w:r>
      <w:r>
        <w:rPr>
          <w:rFonts w:hint="eastAsia" w:asciiTheme="minorEastAsia" w:hAnsiTheme="minorEastAsia" w:eastAsiaTheme="minorEastAsia" w:cstheme="minorEastAsia"/>
          <w:color w:val="auto"/>
          <w:sz w:val="24"/>
          <w:highlight w:val="none"/>
          <w:lang w:eastAsia="zh-CN"/>
        </w:rPr>
        <w:t>http://admin.lyxdgc.com/</w:t>
      </w:r>
      <w:r>
        <w:rPr>
          <w:rFonts w:hint="eastAsia" w:asciiTheme="minorEastAsia" w:hAnsiTheme="minorEastAsia" w:eastAsiaTheme="minorEastAsia" w:cstheme="minorEastAsia"/>
          <w:b w:val="0"/>
          <w:bCs w:val="0"/>
          <w:color w:val="auto"/>
          <w:spacing w:val="0"/>
          <w:sz w:val="24"/>
          <w:szCs w:val="24"/>
          <w:highlight w:val="none"/>
          <w:u w:val="none"/>
          <w:lang w:eastAsia="zh-CN"/>
        </w:rPr>
        <w:t>）</w:t>
      </w:r>
      <w:r>
        <w:rPr>
          <w:rFonts w:hint="eastAsia" w:asciiTheme="minorEastAsia" w:hAnsiTheme="minorEastAsia" w:eastAsiaTheme="minorEastAsia" w:cstheme="minorEastAsia"/>
          <w:color w:val="auto"/>
          <w:highlight w:val="none"/>
          <w:shd w:val="clear" w:color="auto" w:fill="FFFFFF"/>
          <w:lang w:val="en-US" w:eastAsia="zh-CN"/>
        </w:rPr>
        <w:t>上</w:t>
      </w:r>
      <w:r>
        <w:rPr>
          <w:rFonts w:hint="eastAsia" w:asciiTheme="minorEastAsia" w:hAnsiTheme="minorEastAsia" w:eastAsiaTheme="minorEastAsia" w:cstheme="minorEastAsia"/>
          <w:color w:val="auto"/>
          <w:sz w:val="24"/>
          <w:highlight w:val="none"/>
        </w:rPr>
        <w:t>发布</w:t>
      </w:r>
      <w:r>
        <w:rPr>
          <w:rFonts w:hint="eastAsia" w:asciiTheme="minorEastAsia" w:hAnsiTheme="minorEastAsia" w:eastAsiaTheme="minorEastAsia" w:cstheme="minorEastAsia"/>
          <w:color w:val="auto"/>
          <w:sz w:val="24"/>
          <w:highlight w:val="none"/>
          <w:lang w:eastAsia="zh-CN"/>
        </w:rPr>
        <w:t>。</w:t>
      </w:r>
    </w:p>
    <w:p w14:paraId="218989BC">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479" w:leftChars="228" w:right="0" w:firstLine="0" w:firstLineChars="0"/>
        <w:textAlignment w:val="auto"/>
        <w:rPr>
          <w:rFonts w:hint="eastAsia" w:asciiTheme="minorEastAsia" w:hAnsiTheme="minorEastAsia" w:eastAsiaTheme="minorEastAsia" w:cstheme="minorEastAsia"/>
          <w:b w:val="0"/>
          <w:bCs w:val="0"/>
          <w:color w:val="auto"/>
          <w:sz w:val="24"/>
          <w:szCs w:val="24"/>
          <w:highlight w:val="none"/>
          <w:u w:val="none"/>
          <w:lang w:eastAsia="zh-CN"/>
        </w:rPr>
      </w:pPr>
      <w:r>
        <w:rPr>
          <w:rFonts w:hint="eastAsia" w:asciiTheme="minorEastAsia" w:hAnsiTheme="minorEastAsia" w:eastAsiaTheme="minorEastAsia" w:cstheme="minorEastAsia"/>
          <w:b w:val="0"/>
          <w:bCs w:val="0"/>
          <w:color w:val="auto"/>
          <w:spacing w:val="0"/>
          <w:sz w:val="24"/>
          <w:szCs w:val="24"/>
          <w:highlight w:val="none"/>
          <w:u w:val="none"/>
        </w:rPr>
        <w:t>1</w:t>
      </w:r>
      <w:r>
        <w:rPr>
          <w:rFonts w:hint="eastAsia" w:asciiTheme="minorEastAsia" w:hAnsiTheme="minorEastAsia" w:eastAsiaTheme="minorEastAsia" w:cstheme="minorEastAsia"/>
          <w:b w:val="0"/>
          <w:bCs w:val="0"/>
          <w:color w:val="auto"/>
          <w:spacing w:val="0"/>
          <w:sz w:val="24"/>
          <w:szCs w:val="24"/>
          <w:highlight w:val="none"/>
          <w:u w:val="none"/>
          <w:lang w:val="en-US" w:eastAsia="zh-CN"/>
        </w:rPr>
        <w:t>0</w:t>
      </w:r>
      <w:r>
        <w:rPr>
          <w:rFonts w:hint="eastAsia" w:asciiTheme="minorEastAsia" w:hAnsiTheme="minorEastAsia" w:eastAsiaTheme="minorEastAsia" w:cstheme="minorEastAsia"/>
          <w:b w:val="0"/>
          <w:bCs w:val="0"/>
          <w:color w:val="auto"/>
          <w:spacing w:val="0"/>
          <w:sz w:val="24"/>
          <w:szCs w:val="24"/>
          <w:highlight w:val="none"/>
          <w:u w:val="none"/>
        </w:rPr>
        <w:t>.采购人：</w:t>
      </w:r>
      <w:r>
        <w:rPr>
          <w:rFonts w:hint="eastAsia" w:asciiTheme="minorEastAsia" w:hAnsiTheme="minorEastAsia" w:eastAsiaTheme="minorEastAsia" w:cstheme="minorEastAsia"/>
          <w:b w:val="0"/>
          <w:bCs w:val="0"/>
          <w:color w:val="auto"/>
          <w:spacing w:val="0"/>
          <w:sz w:val="24"/>
          <w:szCs w:val="24"/>
          <w:highlight w:val="none"/>
          <w:u w:val="none"/>
          <w:lang w:eastAsia="zh-CN"/>
        </w:rPr>
        <w:t>龙岩学院</w:t>
      </w:r>
    </w:p>
    <w:p w14:paraId="7DB484AF">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Theme="minorEastAsia" w:hAnsiTheme="minorEastAsia" w:eastAsiaTheme="minorEastAsia" w:cstheme="minorEastAsia"/>
          <w:b w:val="0"/>
          <w:bCs w:val="0"/>
          <w:color w:val="auto"/>
          <w:sz w:val="24"/>
          <w:szCs w:val="24"/>
          <w:highlight w:val="none"/>
          <w:u w:val="none"/>
          <w:lang w:val="en-US" w:eastAsia="zh-CN"/>
        </w:rPr>
      </w:pPr>
      <w:r>
        <w:rPr>
          <w:rFonts w:hint="eastAsia" w:asciiTheme="minorEastAsia" w:hAnsiTheme="minorEastAsia" w:eastAsiaTheme="minorEastAsia" w:cstheme="minorEastAsia"/>
          <w:b w:val="0"/>
          <w:bCs w:val="0"/>
          <w:color w:val="auto"/>
          <w:spacing w:val="0"/>
          <w:sz w:val="24"/>
          <w:szCs w:val="24"/>
          <w:highlight w:val="none"/>
          <w:u w:val="none"/>
        </w:rPr>
        <w:t>地  址：</w:t>
      </w:r>
      <w:r>
        <w:rPr>
          <w:rFonts w:hint="eastAsia" w:asciiTheme="minorEastAsia" w:hAnsiTheme="minorEastAsia" w:eastAsiaTheme="minorEastAsia" w:cstheme="minorEastAsia"/>
          <w:color w:val="auto"/>
          <w:highlight w:val="none"/>
          <w:lang w:eastAsia="zh-CN"/>
        </w:rPr>
        <w:t>龙岩市新罗区东肖北路1号</w:t>
      </w:r>
    </w:p>
    <w:p w14:paraId="2FABC1E8">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Theme="minorEastAsia" w:hAnsiTheme="minorEastAsia" w:eastAsiaTheme="minorEastAsia" w:cstheme="minorEastAsia"/>
          <w:b w:val="0"/>
          <w:bCs w:val="0"/>
          <w:color w:val="auto"/>
          <w:sz w:val="24"/>
          <w:szCs w:val="24"/>
          <w:highlight w:val="none"/>
          <w:u w:val="none"/>
          <w:lang w:val="en-US" w:eastAsia="zh-CN"/>
        </w:rPr>
      </w:pPr>
      <w:r>
        <w:rPr>
          <w:rFonts w:hint="eastAsia" w:asciiTheme="minorEastAsia" w:hAnsiTheme="minorEastAsia" w:eastAsiaTheme="minorEastAsia" w:cstheme="minorEastAsia"/>
          <w:b w:val="0"/>
          <w:bCs w:val="0"/>
          <w:color w:val="auto"/>
          <w:spacing w:val="0"/>
          <w:sz w:val="24"/>
          <w:szCs w:val="24"/>
          <w:highlight w:val="none"/>
          <w:u w:val="none"/>
        </w:rPr>
        <w:t>联系人：</w:t>
      </w:r>
      <w:r>
        <w:rPr>
          <w:rFonts w:hint="eastAsia" w:asciiTheme="minorEastAsia" w:hAnsiTheme="minorEastAsia" w:eastAsiaTheme="minorEastAsia" w:cstheme="minorEastAsia"/>
          <w:b w:val="0"/>
          <w:bCs w:val="0"/>
          <w:color w:val="auto"/>
          <w:spacing w:val="0"/>
          <w:sz w:val="24"/>
          <w:szCs w:val="24"/>
          <w:highlight w:val="none"/>
          <w:u w:val="none"/>
          <w:lang w:eastAsia="zh-CN"/>
        </w:rPr>
        <w:t>王</w:t>
      </w:r>
      <w:r>
        <w:rPr>
          <w:rFonts w:hint="eastAsia" w:asciiTheme="minorEastAsia" w:hAnsiTheme="minorEastAsia" w:eastAsiaTheme="minorEastAsia" w:cstheme="minorEastAsia"/>
          <w:b w:val="0"/>
          <w:bCs w:val="0"/>
          <w:color w:val="auto"/>
          <w:spacing w:val="0"/>
          <w:sz w:val="24"/>
          <w:szCs w:val="24"/>
          <w:highlight w:val="none"/>
          <w:u w:val="none"/>
          <w:lang w:val="en-US" w:eastAsia="zh-CN"/>
        </w:rPr>
        <w:t>老师</w:t>
      </w:r>
    </w:p>
    <w:p w14:paraId="72BD7CDF">
      <w:pPr>
        <w:pStyle w:val="13"/>
        <w:widowControl/>
        <w:spacing w:before="75" w:beforeAutospacing="0" w:after="75" w:afterAutospacing="0" w:line="360" w:lineRule="auto"/>
        <w:ind w:firstLine="480" w:firstLineChars="200"/>
        <w:rPr>
          <w:rFonts w:hint="default" w:asciiTheme="minorEastAsia" w:hAnsiTheme="minorEastAsia" w:eastAsiaTheme="minorEastAsia" w:cstheme="minorEastAsia"/>
          <w:b w:val="0"/>
          <w:bCs w:val="0"/>
          <w:color w:val="auto"/>
          <w:spacing w:val="0"/>
          <w:sz w:val="24"/>
          <w:szCs w:val="24"/>
          <w:highlight w:val="none"/>
          <w:u w:val="none"/>
          <w:lang w:val="en-US" w:eastAsia="zh-CN"/>
        </w:rPr>
      </w:pPr>
      <w:r>
        <w:rPr>
          <w:rFonts w:hint="eastAsia" w:asciiTheme="minorEastAsia" w:hAnsiTheme="minorEastAsia" w:eastAsiaTheme="minorEastAsia" w:cstheme="minorEastAsia"/>
          <w:b w:val="0"/>
          <w:bCs w:val="0"/>
          <w:color w:val="auto"/>
          <w:spacing w:val="0"/>
          <w:sz w:val="24"/>
          <w:szCs w:val="24"/>
          <w:highlight w:val="none"/>
          <w:u w:val="none"/>
        </w:rPr>
        <w:t>联系</w:t>
      </w:r>
      <w:r>
        <w:rPr>
          <w:rFonts w:hint="eastAsia" w:asciiTheme="minorEastAsia" w:hAnsiTheme="minorEastAsia" w:eastAsiaTheme="minorEastAsia" w:cstheme="minorEastAsia"/>
          <w:b w:val="0"/>
          <w:bCs w:val="0"/>
          <w:color w:val="auto"/>
          <w:spacing w:val="0"/>
          <w:sz w:val="24"/>
          <w:szCs w:val="24"/>
          <w:highlight w:val="none"/>
          <w:u w:val="none"/>
          <w:lang w:val="en-US" w:eastAsia="zh-CN"/>
        </w:rPr>
        <w:t>电话</w:t>
      </w:r>
      <w:r>
        <w:rPr>
          <w:rFonts w:hint="eastAsia" w:asciiTheme="minorEastAsia" w:hAnsiTheme="minorEastAsia" w:eastAsiaTheme="minorEastAsia" w:cstheme="minorEastAsia"/>
          <w:b w:val="0"/>
          <w:bCs w:val="0"/>
          <w:color w:val="auto"/>
          <w:spacing w:val="0"/>
          <w:sz w:val="24"/>
          <w:szCs w:val="24"/>
          <w:highlight w:val="none"/>
          <w:u w:val="none"/>
        </w:rPr>
        <w:t>：</w:t>
      </w:r>
      <w:r>
        <w:rPr>
          <w:rFonts w:hint="eastAsia" w:asciiTheme="minorEastAsia" w:hAnsiTheme="minorEastAsia" w:eastAsiaTheme="minorEastAsia" w:cstheme="minorEastAsia"/>
          <w:b w:val="0"/>
          <w:bCs w:val="0"/>
          <w:color w:val="auto"/>
          <w:spacing w:val="0"/>
          <w:sz w:val="24"/>
          <w:szCs w:val="24"/>
          <w:highlight w:val="none"/>
          <w:u w:val="none"/>
          <w:lang w:eastAsia="zh-CN"/>
        </w:rPr>
        <w:t>15960899868</w:t>
      </w:r>
    </w:p>
    <w:p w14:paraId="64713A12">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Theme="minorEastAsia" w:hAnsiTheme="minorEastAsia" w:eastAsiaTheme="minorEastAsia" w:cstheme="minorEastAsia"/>
          <w:b w:val="0"/>
          <w:bCs w:val="0"/>
          <w:color w:val="auto"/>
          <w:sz w:val="24"/>
          <w:szCs w:val="24"/>
          <w:highlight w:val="none"/>
          <w:u w:val="none"/>
          <w:lang w:eastAsia="zh-CN"/>
        </w:rPr>
      </w:pPr>
      <w:r>
        <w:rPr>
          <w:rFonts w:hint="eastAsia" w:asciiTheme="minorEastAsia" w:hAnsiTheme="minorEastAsia" w:eastAsiaTheme="minorEastAsia" w:cstheme="minorEastAsia"/>
          <w:b w:val="0"/>
          <w:bCs w:val="0"/>
          <w:color w:val="auto"/>
          <w:spacing w:val="0"/>
          <w:sz w:val="24"/>
          <w:szCs w:val="24"/>
          <w:highlight w:val="none"/>
          <w:u w:val="none"/>
          <w:lang w:val="en-US" w:eastAsia="zh-CN"/>
        </w:rPr>
        <w:t>11.</w:t>
      </w:r>
      <w:r>
        <w:rPr>
          <w:rFonts w:hint="eastAsia" w:asciiTheme="minorEastAsia" w:hAnsiTheme="minorEastAsia" w:eastAsiaTheme="minorEastAsia" w:cstheme="minorEastAsia"/>
          <w:b w:val="0"/>
          <w:bCs w:val="0"/>
          <w:color w:val="auto"/>
          <w:spacing w:val="0"/>
          <w:sz w:val="24"/>
          <w:szCs w:val="24"/>
          <w:highlight w:val="none"/>
          <w:u w:val="none"/>
        </w:rPr>
        <w:t>代理机构：</w:t>
      </w:r>
      <w:r>
        <w:rPr>
          <w:rFonts w:hint="eastAsia" w:asciiTheme="minorEastAsia" w:hAnsiTheme="minorEastAsia" w:eastAsiaTheme="minorEastAsia" w:cstheme="minorEastAsia"/>
          <w:b w:val="0"/>
          <w:bCs w:val="0"/>
          <w:color w:val="auto"/>
          <w:spacing w:val="0"/>
          <w:sz w:val="24"/>
          <w:szCs w:val="24"/>
          <w:highlight w:val="none"/>
          <w:u w:val="none"/>
          <w:lang w:eastAsia="zh-CN"/>
        </w:rPr>
        <w:t>龙岩市鑫达工程管理有限公司</w:t>
      </w:r>
    </w:p>
    <w:p w14:paraId="7E53693F">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Theme="minorEastAsia" w:hAnsiTheme="minorEastAsia" w:eastAsiaTheme="minorEastAsia" w:cstheme="minorEastAsia"/>
          <w:color w:val="auto"/>
          <w:highlight w:val="none"/>
          <w:u w:val="none"/>
          <w:lang w:eastAsia="zh-CN"/>
        </w:rPr>
      </w:pPr>
      <w:r>
        <w:rPr>
          <w:rFonts w:hint="eastAsia" w:asciiTheme="minorEastAsia" w:hAnsiTheme="minorEastAsia" w:eastAsiaTheme="minorEastAsia" w:cstheme="minorEastAsia"/>
          <w:color w:val="auto"/>
          <w:spacing w:val="0"/>
          <w:sz w:val="24"/>
          <w:szCs w:val="24"/>
          <w:highlight w:val="none"/>
          <w:u w:val="none"/>
        </w:rPr>
        <w:t>地  址：</w:t>
      </w:r>
      <w:r>
        <w:rPr>
          <w:rFonts w:hint="eastAsia" w:asciiTheme="minorEastAsia" w:hAnsiTheme="minorEastAsia" w:eastAsiaTheme="minorEastAsia" w:cstheme="minorEastAsia"/>
          <w:color w:val="auto"/>
          <w:spacing w:val="0"/>
          <w:sz w:val="24"/>
          <w:szCs w:val="24"/>
          <w:highlight w:val="none"/>
          <w:u w:val="none"/>
          <w:lang w:eastAsia="zh-CN"/>
        </w:rPr>
        <w:t>龙岩市新罗区富</w:t>
      </w:r>
      <w:r>
        <w:rPr>
          <w:rFonts w:hint="eastAsia" w:asciiTheme="minorEastAsia" w:hAnsiTheme="minorEastAsia" w:eastAsiaTheme="minorEastAsia" w:cstheme="minorEastAsia"/>
          <w:color w:val="auto"/>
          <w:spacing w:val="0"/>
          <w:sz w:val="24"/>
          <w:szCs w:val="24"/>
          <w:highlight w:val="none"/>
          <w:u w:val="none"/>
          <w:lang w:val="en-US" w:eastAsia="zh-CN"/>
        </w:rPr>
        <w:t>山</w:t>
      </w:r>
      <w:r>
        <w:rPr>
          <w:rFonts w:hint="eastAsia" w:asciiTheme="minorEastAsia" w:hAnsiTheme="minorEastAsia" w:eastAsiaTheme="minorEastAsia" w:cstheme="minorEastAsia"/>
          <w:color w:val="auto"/>
          <w:spacing w:val="0"/>
          <w:sz w:val="24"/>
          <w:szCs w:val="24"/>
          <w:highlight w:val="none"/>
          <w:u w:val="none"/>
          <w:lang w:eastAsia="zh-CN"/>
        </w:rPr>
        <w:t>国际9楼930室</w:t>
      </w:r>
    </w:p>
    <w:p w14:paraId="658AB997">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Theme="minorEastAsia" w:hAnsiTheme="minorEastAsia" w:eastAsiaTheme="minorEastAsia" w:cstheme="minorEastAsia"/>
          <w:color w:val="auto"/>
          <w:highlight w:val="none"/>
          <w:u w:val="none"/>
          <w:lang w:eastAsia="zh-CN"/>
        </w:rPr>
      </w:pPr>
      <w:r>
        <w:rPr>
          <w:rFonts w:hint="eastAsia" w:asciiTheme="minorEastAsia" w:hAnsiTheme="minorEastAsia" w:eastAsiaTheme="minorEastAsia" w:cstheme="minorEastAsia"/>
          <w:color w:val="auto"/>
          <w:spacing w:val="0"/>
          <w:sz w:val="24"/>
          <w:szCs w:val="24"/>
          <w:highlight w:val="none"/>
          <w:u w:val="none"/>
        </w:rPr>
        <w:t>联系人：</w:t>
      </w:r>
      <w:r>
        <w:rPr>
          <w:rFonts w:hint="eastAsia" w:asciiTheme="minorEastAsia" w:hAnsiTheme="minorEastAsia" w:eastAsiaTheme="minorEastAsia" w:cstheme="minorEastAsia"/>
          <w:color w:val="auto"/>
          <w:spacing w:val="0"/>
          <w:sz w:val="24"/>
          <w:szCs w:val="24"/>
          <w:highlight w:val="none"/>
          <w:u w:val="none"/>
          <w:lang w:val="en-US" w:eastAsia="zh-CN"/>
        </w:rPr>
        <w:t>钟</w:t>
      </w:r>
      <w:r>
        <w:rPr>
          <w:rFonts w:hint="eastAsia" w:asciiTheme="minorEastAsia" w:hAnsiTheme="minorEastAsia" w:eastAsiaTheme="minorEastAsia" w:cstheme="minorEastAsia"/>
          <w:color w:val="auto"/>
          <w:spacing w:val="0"/>
          <w:sz w:val="24"/>
          <w:szCs w:val="24"/>
          <w:highlight w:val="none"/>
          <w:u w:val="none"/>
          <w:lang w:eastAsia="zh-CN"/>
        </w:rPr>
        <w:t>女士</w:t>
      </w:r>
    </w:p>
    <w:p w14:paraId="42C5DEFF">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firstLine="480" w:firstLineChars="200"/>
        <w:textAlignment w:val="auto"/>
        <w:rPr>
          <w:rFonts w:hint="eastAsia" w:asciiTheme="minorEastAsia" w:hAnsiTheme="minorEastAsia" w:eastAsiaTheme="minorEastAsia" w:cstheme="minorEastAsia"/>
          <w:color w:val="auto"/>
          <w:sz w:val="24"/>
          <w:highlight w:val="none"/>
          <w:u w:val="none"/>
        </w:rPr>
      </w:pPr>
      <w:r>
        <w:rPr>
          <w:rFonts w:hint="eastAsia" w:asciiTheme="minorEastAsia" w:hAnsiTheme="minorEastAsia" w:eastAsiaTheme="minorEastAsia" w:cstheme="minorEastAsia"/>
          <w:color w:val="auto"/>
          <w:spacing w:val="0"/>
          <w:sz w:val="24"/>
          <w:szCs w:val="24"/>
          <w:highlight w:val="none"/>
          <w:u w:val="none"/>
        </w:rPr>
        <w:t>联系</w:t>
      </w:r>
      <w:r>
        <w:rPr>
          <w:rFonts w:hint="eastAsia" w:asciiTheme="minorEastAsia" w:hAnsiTheme="minorEastAsia" w:eastAsiaTheme="minorEastAsia" w:cstheme="minorEastAsia"/>
          <w:color w:val="auto"/>
          <w:spacing w:val="0"/>
          <w:sz w:val="24"/>
          <w:szCs w:val="24"/>
          <w:highlight w:val="none"/>
          <w:u w:val="none"/>
          <w:lang w:val="en-US" w:eastAsia="zh-CN"/>
        </w:rPr>
        <w:t>电话</w:t>
      </w:r>
      <w:r>
        <w:rPr>
          <w:rFonts w:hint="eastAsia" w:asciiTheme="minorEastAsia" w:hAnsiTheme="minorEastAsia" w:eastAsiaTheme="minorEastAsia" w:cstheme="minorEastAsia"/>
          <w:color w:val="auto"/>
          <w:spacing w:val="0"/>
          <w:sz w:val="24"/>
          <w:szCs w:val="24"/>
          <w:highlight w:val="none"/>
          <w:u w:val="none"/>
        </w:rPr>
        <w:t>：</w:t>
      </w:r>
      <w:r>
        <w:rPr>
          <w:rFonts w:hint="eastAsia" w:asciiTheme="minorEastAsia" w:hAnsiTheme="minorEastAsia" w:eastAsiaTheme="minorEastAsia" w:cstheme="minorEastAsia"/>
          <w:color w:val="auto"/>
          <w:sz w:val="24"/>
          <w:highlight w:val="none"/>
          <w:u w:val="none"/>
        </w:rPr>
        <w:t>0597-2582288</w:t>
      </w:r>
    </w:p>
    <w:p w14:paraId="4738984B">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Theme="minorEastAsia" w:hAnsiTheme="minorEastAsia" w:eastAsiaTheme="minorEastAsia" w:cstheme="minorEastAsia"/>
          <w:color w:val="auto"/>
          <w:sz w:val="24"/>
          <w:highlight w:val="none"/>
          <w:u w:val="none"/>
        </w:rPr>
      </w:pPr>
    </w:p>
    <w:p w14:paraId="7BA1452D">
      <w:pPr>
        <w:pStyle w:val="42"/>
        <w:jc w:val="left"/>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附1：提交磋商保证金的银行账户信息</w:t>
      </w:r>
    </w:p>
    <w:tbl>
      <w:tblPr>
        <w:tblStyle w:val="16"/>
        <w:tblW w:w="962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20"/>
      </w:tblGrid>
      <w:tr w14:paraId="32B563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2" w:hRule="atLeast"/>
        </w:trPr>
        <w:tc>
          <w:tcPr>
            <w:tcW w:w="9620" w:type="dxa"/>
          </w:tcPr>
          <w:p w14:paraId="17CED255">
            <w:pPr>
              <w:pStyle w:val="4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银行账户</w:t>
            </w:r>
          </w:p>
        </w:tc>
      </w:tr>
      <w:tr w14:paraId="2BA17B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2" w:hRule="atLeast"/>
        </w:trPr>
        <w:tc>
          <w:tcPr>
            <w:tcW w:w="9620" w:type="dxa"/>
          </w:tcPr>
          <w:p w14:paraId="1DF96EFD">
            <w:pPr>
              <w:pStyle w:val="4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开户名称：龙岩市鑫达工程管理有限公司</w:t>
            </w:r>
          </w:p>
        </w:tc>
      </w:tr>
      <w:tr w14:paraId="7A2B05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2" w:hRule="atLeast"/>
        </w:trPr>
        <w:tc>
          <w:tcPr>
            <w:tcW w:w="9620" w:type="dxa"/>
          </w:tcPr>
          <w:p w14:paraId="10F9E704">
            <w:pPr>
              <w:pStyle w:val="4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r>
              <w:rPr>
                <w:rFonts w:ascii="宋体" w:hAnsi="宋体" w:eastAsia="宋体" w:cs="宋体"/>
                <w:color w:val="auto"/>
                <w:sz w:val="24"/>
                <w:szCs w:val="24"/>
                <w:highlight w:val="none"/>
              </w:rPr>
              <w:t>兴业银行龙岩新兴支行</w:t>
            </w:r>
          </w:p>
        </w:tc>
      </w:tr>
      <w:tr w14:paraId="469272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2" w:hRule="atLeast"/>
        </w:trPr>
        <w:tc>
          <w:tcPr>
            <w:tcW w:w="9620" w:type="dxa"/>
          </w:tcPr>
          <w:p w14:paraId="1DE31F3E">
            <w:pPr>
              <w:pStyle w:val="4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银行账号：</w:t>
            </w:r>
            <w:r>
              <w:rPr>
                <w:rFonts w:ascii="宋体" w:hAnsi="宋体" w:eastAsia="宋体" w:cs="宋体"/>
                <w:color w:val="auto"/>
                <w:sz w:val="24"/>
                <w:szCs w:val="24"/>
                <w:highlight w:val="none"/>
              </w:rPr>
              <w:t>171030100100860666</w:t>
            </w:r>
          </w:p>
        </w:tc>
      </w:tr>
      <w:tr w14:paraId="73BD26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2" w:hRule="atLeast"/>
        </w:trPr>
        <w:tc>
          <w:tcPr>
            <w:tcW w:w="9620" w:type="dxa"/>
          </w:tcPr>
          <w:p w14:paraId="7EB99A6B">
            <w:pPr>
              <w:pStyle w:val="4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特别提示</w:t>
            </w:r>
          </w:p>
        </w:tc>
      </w:tr>
      <w:tr w14:paraId="609835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59" w:hRule="atLeast"/>
        </w:trPr>
        <w:tc>
          <w:tcPr>
            <w:tcW w:w="9620" w:type="dxa"/>
          </w:tcPr>
          <w:p w14:paraId="4B997AB3">
            <w:pPr>
              <w:pStyle w:val="4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1、请供应商务必认真核对账户信息，将磋商保证金款项汇入对应账户，并自行承担因款项汇错而产生的一切后果。</w:t>
            </w:r>
          </w:p>
          <w:p w14:paraId="1339601E">
            <w:pPr>
              <w:pStyle w:val="4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2、请供应商在转账或电汇的凭证上务必按照以下格式注明，以便核对：“（项目编号：</w:t>
            </w:r>
            <w:r>
              <w:rPr>
                <w:rFonts w:hint="eastAsia" w:ascii="宋体" w:hAnsi="宋体" w:eastAsia="宋体" w:cs="宋体"/>
                <w:color w:val="auto"/>
                <w:sz w:val="24"/>
                <w:szCs w:val="24"/>
                <w:highlight w:val="none"/>
                <w:lang w:eastAsia="zh-CN"/>
              </w:rPr>
              <w:t>鑫达岩字招（2026）079号</w:t>
            </w:r>
            <w:r>
              <w:rPr>
                <w:rFonts w:hint="eastAsia" w:ascii="宋体" w:hAnsi="宋体" w:eastAsia="宋体" w:cs="宋体"/>
                <w:color w:val="auto"/>
                <w:sz w:val="24"/>
                <w:szCs w:val="24"/>
                <w:highlight w:val="none"/>
              </w:rPr>
              <w:t>）的磋商保证金”。</w:t>
            </w:r>
          </w:p>
        </w:tc>
      </w:tr>
    </w:tbl>
    <w:p w14:paraId="6A7945C7">
      <w:pPr>
        <w:pStyle w:val="13"/>
        <w:widowControl/>
        <w:spacing w:before="60" w:beforeAutospacing="0" w:after="60" w:afterAutospacing="0" w:line="348" w:lineRule="atLeast"/>
        <w:rPr>
          <w:rStyle w:val="19"/>
          <w:rFonts w:hint="eastAsia" w:asciiTheme="minorEastAsia" w:hAnsiTheme="minorEastAsia" w:eastAsiaTheme="minorEastAsia" w:cstheme="minorEastAsia"/>
          <w:color w:val="auto"/>
          <w:sz w:val="34"/>
          <w:szCs w:val="34"/>
          <w:highlight w:val="none"/>
        </w:rPr>
      </w:pPr>
    </w:p>
    <w:p w14:paraId="54D27987">
      <w:pPr>
        <w:rPr>
          <w:rStyle w:val="19"/>
          <w:rFonts w:hint="eastAsia" w:asciiTheme="minorEastAsia" w:hAnsiTheme="minorEastAsia" w:eastAsiaTheme="minorEastAsia" w:cstheme="minorEastAsia"/>
          <w:color w:val="auto"/>
          <w:sz w:val="34"/>
          <w:szCs w:val="34"/>
          <w:highlight w:val="none"/>
        </w:rPr>
      </w:pPr>
      <w:r>
        <w:rPr>
          <w:rStyle w:val="19"/>
          <w:rFonts w:hint="eastAsia" w:asciiTheme="minorEastAsia" w:hAnsiTheme="minorEastAsia" w:eastAsiaTheme="minorEastAsia" w:cstheme="minorEastAsia"/>
          <w:color w:val="auto"/>
          <w:sz w:val="34"/>
          <w:szCs w:val="34"/>
          <w:highlight w:val="none"/>
        </w:rPr>
        <w:br w:type="page"/>
      </w:r>
    </w:p>
    <w:p w14:paraId="26C9D9EC">
      <w:pPr>
        <w:jc w:val="center"/>
        <w:rPr>
          <w:rStyle w:val="19"/>
          <w:rFonts w:hint="eastAsia" w:asciiTheme="minorEastAsia" w:hAnsiTheme="minorEastAsia" w:eastAsiaTheme="minorEastAsia" w:cstheme="minorEastAsia"/>
          <w:color w:val="auto"/>
          <w:sz w:val="34"/>
          <w:szCs w:val="34"/>
          <w:highlight w:val="none"/>
          <w:lang w:eastAsia="zh-CN"/>
        </w:rPr>
      </w:pPr>
      <w:r>
        <w:rPr>
          <w:rStyle w:val="19"/>
          <w:rFonts w:hint="eastAsia" w:asciiTheme="minorEastAsia" w:hAnsiTheme="minorEastAsia" w:eastAsiaTheme="minorEastAsia" w:cstheme="minorEastAsia"/>
          <w:color w:val="auto"/>
          <w:sz w:val="34"/>
          <w:szCs w:val="34"/>
          <w:highlight w:val="none"/>
        </w:rPr>
        <w:t>第二章  竞争性磋商须知</w:t>
      </w:r>
    </w:p>
    <w:p w14:paraId="52EFAC50">
      <w:pPr>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25"/>
          <w:szCs w:val="25"/>
          <w:highlight w:val="none"/>
        </w:rPr>
        <w:t>第1节 竞争性磋商须知前附表</w:t>
      </w:r>
    </w:p>
    <w:p w14:paraId="15746CC4">
      <w:pPr>
        <w:pStyle w:val="13"/>
        <w:widowControl/>
        <w:spacing w:before="60" w:beforeAutospacing="0" w:after="60" w:afterAutospacing="0" w:line="348" w:lineRule="atLeas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竞争性磋商须知前附表是对竞争性磋商须知的补充和细化，二者如有矛盾，以前附表中的要求和规定为准</w:t>
      </w:r>
    </w:p>
    <w:tbl>
      <w:tblPr>
        <w:tblStyle w:val="16"/>
        <w:tblW w:w="9823" w:type="dxa"/>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49"/>
        <w:gridCol w:w="1039"/>
        <w:gridCol w:w="8235"/>
      </w:tblGrid>
      <w:tr w14:paraId="5DD15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2" w:hRule="atLeast"/>
          <w:tblCellSpacing w:w="15" w:type="dxa"/>
          <w:jc w:val="center"/>
        </w:trPr>
        <w:tc>
          <w:tcPr>
            <w:tcW w:w="504" w:type="dxa"/>
            <w:noWrap w:val="0"/>
            <w:tcMar>
              <w:top w:w="0" w:type="dxa"/>
              <w:left w:w="84" w:type="dxa"/>
              <w:bottom w:w="0" w:type="dxa"/>
              <w:right w:w="84" w:type="dxa"/>
            </w:tcMar>
            <w:vAlign w:val="top"/>
          </w:tcPr>
          <w:p w14:paraId="2B10BD02">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项号</w:t>
            </w:r>
          </w:p>
        </w:tc>
        <w:tc>
          <w:tcPr>
            <w:tcW w:w="1009" w:type="dxa"/>
            <w:noWrap w:val="0"/>
            <w:tcMar>
              <w:top w:w="0" w:type="dxa"/>
              <w:left w:w="84" w:type="dxa"/>
              <w:bottom w:w="0" w:type="dxa"/>
              <w:right w:w="84" w:type="dxa"/>
            </w:tcMar>
            <w:vAlign w:val="top"/>
          </w:tcPr>
          <w:p w14:paraId="4D39DFD8">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条款号</w:t>
            </w:r>
          </w:p>
        </w:tc>
        <w:tc>
          <w:tcPr>
            <w:tcW w:w="8190" w:type="dxa"/>
            <w:noWrap w:val="0"/>
            <w:tcMar>
              <w:top w:w="0" w:type="dxa"/>
              <w:left w:w="84" w:type="dxa"/>
              <w:bottom w:w="0" w:type="dxa"/>
              <w:right w:w="84" w:type="dxa"/>
            </w:tcMar>
            <w:vAlign w:val="top"/>
          </w:tcPr>
          <w:p w14:paraId="2FCDF56D">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编列内容</w:t>
            </w:r>
          </w:p>
        </w:tc>
      </w:tr>
      <w:tr w14:paraId="4C859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blCellSpacing w:w="15" w:type="dxa"/>
          <w:jc w:val="center"/>
        </w:trPr>
        <w:tc>
          <w:tcPr>
            <w:tcW w:w="504" w:type="dxa"/>
            <w:noWrap w:val="0"/>
            <w:tcMar>
              <w:top w:w="0" w:type="dxa"/>
              <w:left w:w="84" w:type="dxa"/>
              <w:bottom w:w="0" w:type="dxa"/>
              <w:right w:w="84" w:type="dxa"/>
            </w:tcMar>
            <w:vAlign w:val="center"/>
          </w:tcPr>
          <w:p w14:paraId="319E24CF">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p>
        </w:tc>
        <w:tc>
          <w:tcPr>
            <w:tcW w:w="1009" w:type="dxa"/>
            <w:noWrap w:val="0"/>
            <w:tcMar>
              <w:top w:w="0" w:type="dxa"/>
              <w:left w:w="84" w:type="dxa"/>
              <w:bottom w:w="0" w:type="dxa"/>
              <w:right w:w="84" w:type="dxa"/>
            </w:tcMar>
            <w:vAlign w:val="center"/>
          </w:tcPr>
          <w:p w14:paraId="29318ECB">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3.2.1</w:t>
            </w:r>
          </w:p>
        </w:tc>
        <w:tc>
          <w:tcPr>
            <w:tcW w:w="8190" w:type="dxa"/>
            <w:noWrap w:val="0"/>
            <w:tcMar>
              <w:top w:w="0" w:type="dxa"/>
              <w:left w:w="84" w:type="dxa"/>
              <w:bottom w:w="0" w:type="dxa"/>
              <w:right w:w="84" w:type="dxa"/>
            </w:tcMar>
            <w:vAlign w:val="center"/>
          </w:tcPr>
          <w:p w14:paraId="3A8CBE28">
            <w:pPr>
              <w:pStyle w:val="13"/>
              <w:widowControl/>
              <w:spacing w:before="0" w:beforeAutospacing="0" w:after="0" w:afterAutospacing="0" w:line="348" w:lineRule="atLeast"/>
              <w:rPr>
                <w:rFonts w:hint="eastAsia" w:asciiTheme="minorEastAsia" w:hAnsiTheme="minorEastAsia" w:eastAsiaTheme="minorEastAsia" w:cstheme="minorEastAsia"/>
                <w:color w:val="auto"/>
                <w:sz w:val="24"/>
                <w:highlight w:val="none"/>
                <w:lang w:eastAsia="zh-CN"/>
              </w:rPr>
            </w:pPr>
            <w:r>
              <w:rPr>
                <w:rStyle w:val="19"/>
                <w:rFonts w:hint="eastAsia" w:asciiTheme="minorEastAsia" w:hAnsiTheme="minorEastAsia" w:eastAsiaTheme="minorEastAsia" w:cstheme="minorEastAsia"/>
                <w:color w:val="auto"/>
                <w:highlight w:val="none"/>
              </w:rPr>
              <w:t>供应商的资格要求</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详见</w:t>
            </w:r>
            <w:r>
              <w:rPr>
                <w:rFonts w:hint="eastAsia" w:asciiTheme="minorEastAsia" w:hAnsiTheme="minorEastAsia" w:eastAsiaTheme="minorEastAsia" w:cstheme="minorEastAsia"/>
                <w:color w:val="auto"/>
                <w:highlight w:val="none"/>
              </w:rPr>
              <w:t>磋商文件第一章“</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公告/</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邀请书”</w:t>
            </w:r>
          </w:p>
        </w:tc>
      </w:tr>
      <w:tr w14:paraId="2A183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blCellSpacing w:w="15" w:type="dxa"/>
          <w:jc w:val="center"/>
        </w:trPr>
        <w:tc>
          <w:tcPr>
            <w:tcW w:w="504" w:type="dxa"/>
            <w:noWrap w:val="0"/>
            <w:tcMar>
              <w:top w:w="0" w:type="dxa"/>
              <w:left w:w="84" w:type="dxa"/>
              <w:bottom w:w="0" w:type="dxa"/>
              <w:right w:w="84" w:type="dxa"/>
            </w:tcMar>
            <w:vAlign w:val="center"/>
          </w:tcPr>
          <w:p w14:paraId="6EA7EFB4">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w:t>
            </w:r>
          </w:p>
        </w:tc>
        <w:tc>
          <w:tcPr>
            <w:tcW w:w="1009" w:type="dxa"/>
            <w:noWrap w:val="0"/>
            <w:tcMar>
              <w:top w:w="0" w:type="dxa"/>
              <w:left w:w="84" w:type="dxa"/>
              <w:bottom w:w="0" w:type="dxa"/>
              <w:right w:w="84" w:type="dxa"/>
            </w:tcMar>
            <w:vAlign w:val="center"/>
          </w:tcPr>
          <w:p w14:paraId="0C20DF03">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3.2.2</w:t>
            </w:r>
          </w:p>
        </w:tc>
        <w:tc>
          <w:tcPr>
            <w:tcW w:w="8190" w:type="dxa"/>
            <w:noWrap w:val="0"/>
            <w:tcMar>
              <w:top w:w="0" w:type="dxa"/>
              <w:left w:w="84" w:type="dxa"/>
              <w:bottom w:w="0" w:type="dxa"/>
              <w:right w:w="84" w:type="dxa"/>
            </w:tcMar>
            <w:vAlign w:val="center"/>
          </w:tcPr>
          <w:p w14:paraId="14C1B6C2">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是否接受联合体形式的响应磋商：</w:t>
            </w:r>
            <w:r>
              <w:rPr>
                <w:rFonts w:hint="eastAsia" w:asciiTheme="minorEastAsia" w:hAnsiTheme="minorEastAsia" w:eastAsiaTheme="minorEastAsia" w:cstheme="minorEastAsia"/>
                <w:color w:val="auto"/>
                <w:highlight w:val="none"/>
              </w:rPr>
              <w:t>不接受</w:t>
            </w:r>
          </w:p>
        </w:tc>
      </w:tr>
      <w:tr w14:paraId="03CE7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92" w:hRule="atLeast"/>
          <w:tblCellSpacing w:w="15" w:type="dxa"/>
          <w:jc w:val="center"/>
        </w:trPr>
        <w:tc>
          <w:tcPr>
            <w:tcW w:w="504" w:type="dxa"/>
            <w:noWrap w:val="0"/>
            <w:tcMar>
              <w:top w:w="0" w:type="dxa"/>
              <w:left w:w="84" w:type="dxa"/>
              <w:bottom w:w="0" w:type="dxa"/>
              <w:right w:w="84" w:type="dxa"/>
            </w:tcMar>
            <w:vAlign w:val="center"/>
          </w:tcPr>
          <w:p w14:paraId="52C4D45E">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w:t>
            </w:r>
          </w:p>
        </w:tc>
        <w:tc>
          <w:tcPr>
            <w:tcW w:w="1009" w:type="dxa"/>
            <w:noWrap w:val="0"/>
            <w:tcMar>
              <w:top w:w="0" w:type="dxa"/>
              <w:left w:w="84" w:type="dxa"/>
              <w:bottom w:w="0" w:type="dxa"/>
              <w:right w:w="84" w:type="dxa"/>
            </w:tcMar>
            <w:vAlign w:val="center"/>
          </w:tcPr>
          <w:p w14:paraId="5161E044">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6.3</w:t>
            </w:r>
          </w:p>
        </w:tc>
        <w:tc>
          <w:tcPr>
            <w:tcW w:w="8190" w:type="dxa"/>
            <w:noWrap w:val="0"/>
            <w:tcMar>
              <w:top w:w="0" w:type="dxa"/>
              <w:left w:w="84" w:type="dxa"/>
              <w:bottom w:w="0" w:type="dxa"/>
              <w:right w:w="84" w:type="dxa"/>
            </w:tcMar>
            <w:vAlign w:val="center"/>
          </w:tcPr>
          <w:p w14:paraId="0C274F7E">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是否组织现场考察或召开磋商前答疑会：</w:t>
            </w:r>
            <w:r>
              <w:rPr>
                <w:rFonts w:hint="eastAsia" w:asciiTheme="minorEastAsia" w:hAnsiTheme="minorEastAsia" w:eastAsiaTheme="minorEastAsia" w:cstheme="minorEastAsia"/>
                <w:color w:val="auto"/>
                <w:spacing w:val="0"/>
                <w:sz w:val="24"/>
                <w:szCs w:val="24"/>
                <w:highlight w:val="none"/>
              </w:rPr>
              <w:t>否</w:t>
            </w:r>
          </w:p>
        </w:tc>
      </w:tr>
      <w:tr w14:paraId="6055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92" w:hRule="atLeast"/>
          <w:tblCellSpacing w:w="15" w:type="dxa"/>
          <w:jc w:val="center"/>
        </w:trPr>
        <w:tc>
          <w:tcPr>
            <w:tcW w:w="504" w:type="dxa"/>
            <w:noWrap w:val="0"/>
            <w:tcMar>
              <w:top w:w="0" w:type="dxa"/>
              <w:left w:w="84" w:type="dxa"/>
              <w:bottom w:w="0" w:type="dxa"/>
              <w:right w:w="84" w:type="dxa"/>
            </w:tcMar>
            <w:vAlign w:val="center"/>
          </w:tcPr>
          <w:p w14:paraId="54727D53">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w:t>
            </w:r>
          </w:p>
        </w:tc>
        <w:tc>
          <w:tcPr>
            <w:tcW w:w="1009" w:type="dxa"/>
            <w:noWrap w:val="0"/>
            <w:tcMar>
              <w:top w:w="0" w:type="dxa"/>
              <w:left w:w="84" w:type="dxa"/>
              <w:bottom w:w="0" w:type="dxa"/>
              <w:right w:w="84" w:type="dxa"/>
            </w:tcMar>
            <w:vAlign w:val="center"/>
          </w:tcPr>
          <w:p w14:paraId="6A91C0C5">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9.1</w:t>
            </w:r>
          </w:p>
        </w:tc>
        <w:tc>
          <w:tcPr>
            <w:tcW w:w="8190" w:type="dxa"/>
            <w:noWrap w:val="0"/>
            <w:tcMar>
              <w:top w:w="0" w:type="dxa"/>
              <w:left w:w="84" w:type="dxa"/>
              <w:bottom w:w="0" w:type="dxa"/>
              <w:right w:w="84" w:type="dxa"/>
            </w:tcMar>
            <w:vAlign w:val="center"/>
          </w:tcPr>
          <w:p w14:paraId="34B266AF">
            <w:pPr>
              <w:pStyle w:val="13"/>
              <w:widowControl/>
              <w:spacing w:before="0" w:beforeAutospacing="0" w:after="0" w:afterAutospacing="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响应文件有效期：</w:t>
            </w:r>
            <w:r>
              <w:rPr>
                <w:rFonts w:hint="eastAsia" w:asciiTheme="minorEastAsia" w:hAnsiTheme="minorEastAsia" w:eastAsiaTheme="minorEastAsia" w:cstheme="minorEastAsia"/>
                <w:color w:val="auto"/>
                <w:highlight w:val="none"/>
              </w:rPr>
              <w:t>首次响应文件提交截止时间起90个日历日。</w:t>
            </w:r>
          </w:p>
        </w:tc>
      </w:tr>
      <w:tr w14:paraId="11080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blCellSpacing w:w="15" w:type="dxa"/>
          <w:jc w:val="center"/>
        </w:trPr>
        <w:tc>
          <w:tcPr>
            <w:tcW w:w="504" w:type="dxa"/>
            <w:noWrap w:val="0"/>
            <w:tcMar>
              <w:top w:w="0" w:type="dxa"/>
              <w:left w:w="84" w:type="dxa"/>
              <w:bottom w:w="0" w:type="dxa"/>
              <w:right w:w="84" w:type="dxa"/>
            </w:tcMar>
            <w:vAlign w:val="center"/>
          </w:tcPr>
          <w:p w14:paraId="3BA8B5F9">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w:t>
            </w:r>
          </w:p>
        </w:tc>
        <w:tc>
          <w:tcPr>
            <w:tcW w:w="1009" w:type="dxa"/>
            <w:noWrap w:val="0"/>
            <w:tcMar>
              <w:top w:w="0" w:type="dxa"/>
              <w:left w:w="84" w:type="dxa"/>
              <w:bottom w:w="0" w:type="dxa"/>
              <w:right w:w="84" w:type="dxa"/>
            </w:tcMar>
            <w:vAlign w:val="center"/>
          </w:tcPr>
          <w:p w14:paraId="7E766DFA">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10.1</w:t>
            </w:r>
          </w:p>
        </w:tc>
        <w:tc>
          <w:tcPr>
            <w:tcW w:w="8190" w:type="dxa"/>
            <w:noWrap w:val="0"/>
            <w:tcMar>
              <w:top w:w="0" w:type="dxa"/>
              <w:left w:w="84" w:type="dxa"/>
              <w:bottom w:w="0" w:type="dxa"/>
              <w:right w:w="84" w:type="dxa"/>
            </w:tcMar>
            <w:vAlign w:val="top"/>
          </w:tcPr>
          <w:p w14:paraId="408AFECB">
            <w:pPr>
              <w:pStyle w:val="13"/>
              <w:widowControl/>
              <w:spacing w:before="0" w:beforeAutospacing="0" w:after="0" w:afterAutospacing="0" w:line="348" w:lineRule="atLeast"/>
              <w:rPr>
                <w:rFonts w:hint="eastAsia" w:asciiTheme="minorEastAsia" w:hAnsiTheme="minorEastAsia" w:eastAsiaTheme="minorEastAsia" w:cstheme="minorEastAsia"/>
                <w:color w:val="auto"/>
                <w:kern w:val="0"/>
                <w:sz w:val="24"/>
                <w:szCs w:val="24"/>
                <w:highlight w:val="none"/>
                <w:lang w:val="en-US" w:eastAsia="zh-CN" w:bidi="ar"/>
              </w:rPr>
            </w:pPr>
            <w:r>
              <w:rPr>
                <w:rStyle w:val="19"/>
                <w:rFonts w:hint="eastAsia" w:asciiTheme="minorEastAsia" w:hAnsiTheme="minorEastAsia" w:eastAsiaTheme="minorEastAsia" w:cstheme="minorEastAsia"/>
                <w:color w:val="auto"/>
                <w:highlight w:val="none"/>
              </w:rPr>
              <w:t>提交磋商保证金：</w:t>
            </w:r>
            <w:r>
              <w:rPr>
                <w:rFonts w:hint="eastAsia" w:asciiTheme="minorEastAsia" w:hAnsiTheme="minorEastAsia" w:eastAsiaTheme="minorEastAsia" w:cstheme="minorEastAsia"/>
                <w:color w:val="auto"/>
                <w:highlight w:val="none"/>
                <w:lang w:val="en-US" w:eastAsia="zh-CN"/>
              </w:rPr>
              <w:t>900元</w:t>
            </w:r>
            <w:r>
              <w:rPr>
                <w:rFonts w:hint="eastAsia" w:asciiTheme="minorEastAsia" w:hAnsiTheme="minorEastAsia" w:eastAsiaTheme="minorEastAsia" w:cstheme="minorEastAsia"/>
                <w:color w:val="auto"/>
                <w:kern w:val="0"/>
                <w:sz w:val="24"/>
                <w:szCs w:val="24"/>
                <w:highlight w:val="none"/>
                <w:lang w:val="en-US" w:eastAsia="zh-CN" w:bidi="ar"/>
              </w:rPr>
              <w:t>。</w:t>
            </w:r>
          </w:p>
          <w:p w14:paraId="4F7F3E73">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其他：</w:t>
            </w:r>
            <w:r>
              <w:rPr>
                <w:rFonts w:hint="eastAsia" w:asciiTheme="minorEastAsia" w:hAnsiTheme="minorEastAsia" w:eastAsiaTheme="minorEastAsia" w:cstheme="minorEastAsia"/>
                <w:color w:val="auto"/>
                <w:spacing w:val="0"/>
                <w:sz w:val="24"/>
                <w:szCs w:val="24"/>
                <w:highlight w:val="none"/>
              </w:rPr>
              <w:t>无</w:t>
            </w:r>
            <w:r>
              <w:rPr>
                <w:rFonts w:hint="eastAsia" w:asciiTheme="minorEastAsia" w:hAnsiTheme="minorEastAsia" w:eastAsiaTheme="minorEastAsia" w:cstheme="minorEastAsia"/>
                <w:color w:val="auto"/>
                <w:highlight w:val="none"/>
              </w:rPr>
              <w:t>。</w:t>
            </w:r>
          </w:p>
        </w:tc>
      </w:tr>
      <w:tr w14:paraId="5298D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blCellSpacing w:w="15" w:type="dxa"/>
          <w:jc w:val="center"/>
        </w:trPr>
        <w:tc>
          <w:tcPr>
            <w:tcW w:w="504" w:type="dxa"/>
            <w:noWrap w:val="0"/>
            <w:tcMar>
              <w:top w:w="0" w:type="dxa"/>
              <w:left w:w="84" w:type="dxa"/>
              <w:bottom w:w="0" w:type="dxa"/>
              <w:right w:w="84" w:type="dxa"/>
            </w:tcMar>
            <w:vAlign w:val="center"/>
          </w:tcPr>
          <w:p w14:paraId="25E98F09">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w:t>
            </w:r>
          </w:p>
        </w:tc>
        <w:tc>
          <w:tcPr>
            <w:tcW w:w="1009" w:type="dxa"/>
            <w:noWrap w:val="0"/>
            <w:tcMar>
              <w:top w:w="0" w:type="dxa"/>
              <w:left w:w="84" w:type="dxa"/>
              <w:bottom w:w="0" w:type="dxa"/>
              <w:right w:w="84" w:type="dxa"/>
            </w:tcMar>
            <w:vAlign w:val="center"/>
          </w:tcPr>
          <w:p w14:paraId="7E6A9DA1">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10.3.1</w:t>
            </w:r>
          </w:p>
        </w:tc>
        <w:tc>
          <w:tcPr>
            <w:tcW w:w="8190" w:type="dxa"/>
            <w:noWrap w:val="0"/>
            <w:tcMar>
              <w:top w:w="0" w:type="dxa"/>
              <w:left w:w="84" w:type="dxa"/>
              <w:bottom w:w="0" w:type="dxa"/>
              <w:right w:w="84" w:type="dxa"/>
            </w:tcMar>
            <w:vAlign w:val="center"/>
          </w:tcPr>
          <w:p w14:paraId="0AA6B96F">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磋商保证金退还的其它要求：</w:t>
            </w:r>
            <w:r>
              <w:rPr>
                <w:rStyle w:val="19"/>
                <w:rFonts w:hint="eastAsia" w:asciiTheme="minorEastAsia" w:hAnsiTheme="minorEastAsia" w:eastAsiaTheme="minorEastAsia" w:cstheme="minorEastAsia"/>
                <w:b w:val="0"/>
                <w:bCs w:val="0"/>
                <w:color w:val="auto"/>
                <w:sz w:val="24"/>
                <w:szCs w:val="24"/>
                <w:highlight w:val="none"/>
                <w:lang w:val="en-US" w:eastAsia="zh-CN"/>
              </w:rPr>
              <w:t>无</w:t>
            </w:r>
            <w:r>
              <w:rPr>
                <w:rFonts w:hint="eastAsia" w:asciiTheme="minorEastAsia" w:hAnsiTheme="minorEastAsia" w:eastAsiaTheme="minorEastAsia" w:cstheme="minorEastAsia"/>
                <w:color w:val="auto"/>
                <w:highlight w:val="none"/>
              </w:rPr>
              <w:t>。</w:t>
            </w:r>
          </w:p>
        </w:tc>
      </w:tr>
      <w:tr w14:paraId="096FA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blCellSpacing w:w="15" w:type="dxa"/>
          <w:jc w:val="center"/>
        </w:trPr>
        <w:tc>
          <w:tcPr>
            <w:tcW w:w="504" w:type="dxa"/>
            <w:noWrap w:val="0"/>
            <w:tcMar>
              <w:top w:w="0" w:type="dxa"/>
              <w:left w:w="84" w:type="dxa"/>
              <w:bottom w:w="0" w:type="dxa"/>
              <w:right w:w="84" w:type="dxa"/>
            </w:tcMar>
            <w:vAlign w:val="center"/>
          </w:tcPr>
          <w:p w14:paraId="61C55566">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w:t>
            </w:r>
          </w:p>
        </w:tc>
        <w:tc>
          <w:tcPr>
            <w:tcW w:w="1009" w:type="dxa"/>
            <w:noWrap w:val="0"/>
            <w:tcMar>
              <w:top w:w="0" w:type="dxa"/>
              <w:left w:w="84" w:type="dxa"/>
              <w:bottom w:w="0" w:type="dxa"/>
              <w:right w:w="84" w:type="dxa"/>
            </w:tcMar>
            <w:vAlign w:val="center"/>
          </w:tcPr>
          <w:p w14:paraId="161C448D">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11.1</w:t>
            </w:r>
          </w:p>
        </w:tc>
        <w:tc>
          <w:tcPr>
            <w:tcW w:w="8190" w:type="dxa"/>
            <w:noWrap w:val="0"/>
            <w:tcMar>
              <w:top w:w="0" w:type="dxa"/>
              <w:left w:w="84" w:type="dxa"/>
              <w:bottom w:w="0" w:type="dxa"/>
              <w:right w:w="84" w:type="dxa"/>
            </w:tcMar>
            <w:vAlign w:val="center"/>
          </w:tcPr>
          <w:p w14:paraId="18AFEA30">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响应文件的份数</w:t>
            </w:r>
          </w:p>
          <w:p w14:paraId="08028B60">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(1)纸质响应文件 </w:t>
            </w:r>
          </w:p>
          <w:p w14:paraId="2BF1D476">
            <w:pPr>
              <w:pStyle w:val="13"/>
              <w:widowControl/>
              <w:spacing w:before="0" w:beforeAutospacing="0" w:after="0" w:afterAutospacing="0" w:line="348" w:lineRule="atLeas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①响应文件正本</w:t>
            </w:r>
            <w:r>
              <w:rPr>
                <w:rFonts w:hint="eastAsia" w:asciiTheme="minorEastAsia" w:hAnsiTheme="minorEastAsia" w:eastAsiaTheme="minorEastAsia" w:cstheme="minorEastAsia"/>
                <w:color w:val="auto"/>
                <w:highlight w:val="none"/>
                <w:u w:val="single"/>
              </w:rPr>
              <w:t>1</w:t>
            </w:r>
            <w:r>
              <w:rPr>
                <w:rFonts w:hint="eastAsia" w:asciiTheme="minorEastAsia" w:hAnsiTheme="minorEastAsia" w:eastAsiaTheme="minorEastAsia" w:cstheme="minorEastAsia"/>
                <w:color w:val="auto"/>
                <w:highlight w:val="none"/>
              </w:rPr>
              <w:t>份、副本</w:t>
            </w:r>
            <w:r>
              <w:rPr>
                <w:rFonts w:hint="eastAsia" w:asciiTheme="minorEastAsia" w:hAnsiTheme="minorEastAsia" w:eastAsiaTheme="minorEastAsia" w:cstheme="minorEastAsia"/>
                <w:color w:val="auto"/>
                <w:highlight w:val="none"/>
                <w:u w:val="single"/>
                <w:lang w:val="en-US" w:eastAsia="zh-CN"/>
              </w:rPr>
              <w:t>3</w:t>
            </w:r>
            <w:r>
              <w:rPr>
                <w:rFonts w:hint="eastAsia" w:asciiTheme="minorEastAsia" w:hAnsiTheme="minorEastAsia" w:eastAsiaTheme="minorEastAsia" w:cstheme="minorEastAsia"/>
                <w:color w:val="auto"/>
                <w:highlight w:val="none"/>
              </w:rPr>
              <w:t>份。</w:t>
            </w:r>
          </w:p>
          <w:p w14:paraId="7B3C8D46">
            <w:pPr>
              <w:pStyle w:val="13"/>
              <w:widowControl/>
              <w:spacing w:before="0" w:beforeAutospacing="0" w:after="0" w:afterAutospacing="0" w:line="348" w:lineRule="atLeas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②可读介质(光盘或U盘)</w:t>
            </w:r>
            <w:r>
              <w:rPr>
                <w:rFonts w:hint="eastAsia" w:asciiTheme="minorEastAsia" w:hAnsiTheme="minorEastAsia" w:eastAsiaTheme="minorEastAsia" w:cstheme="minorEastAsia"/>
                <w:color w:val="auto"/>
                <w:highlight w:val="none"/>
                <w:u w:val="single"/>
              </w:rPr>
              <w:t>1</w:t>
            </w:r>
            <w:r>
              <w:rPr>
                <w:rFonts w:hint="eastAsia" w:asciiTheme="minorEastAsia" w:hAnsiTheme="minorEastAsia" w:eastAsiaTheme="minorEastAsia" w:cstheme="minorEastAsia"/>
                <w:color w:val="auto"/>
                <w:highlight w:val="none"/>
              </w:rPr>
              <w:t>份：</w:t>
            </w:r>
          </w:p>
        </w:tc>
      </w:tr>
      <w:tr w14:paraId="18B51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blCellSpacing w:w="15" w:type="dxa"/>
          <w:jc w:val="center"/>
        </w:trPr>
        <w:tc>
          <w:tcPr>
            <w:tcW w:w="504" w:type="dxa"/>
            <w:noWrap w:val="0"/>
            <w:tcMar>
              <w:top w:w="0" w:type="dxa"/>
              <w:left w:w="84" w:type="dxa"/>
              <w:bottom w:w="0" w:type="dxa"/>
              <w:right w:w="84" w:type="dxa"/>
            </w:tcMar>
            <w:vAlign w:val="center"/>
          </w:tcPr>
          <w:p w14:paraId="29369E5E">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8</w:t>
            </w:r>
          </w:p>
        </w:tc>
        <w:tc>
          <w:tcPr>
            <w:tcW w:w="1009" w:type="dxa"/>
            <w:noWrap w:val="0"/>
            <w:tcMar>
              <w:top w:w="0" w:type="dxa"/>
              <w:left w:w="84" w:type="dxa"/>
              <w:bottom w:w="0" w:type="dxa"/>
              <w:right w:w="84" w:type="dxa"/>
            </w:tcMar>
            <w:vAlign w:val="center"/>
          </w:tcPr>
          <w:p w14:paraId="13BFDD08">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14.4</w:t>
            </w:r>
          </w:p>
        </w:tc>
        <w:tc>
          <w:tcPr>
            <w:tcW w:w="8190" w:type="dxa"/>
            <w:noWrap w:val="0"/>
            <w:tcMar>
              <w:top w:w="0" w:type="dxa"/>
              <w:left w:w="84" w:type="dxa"/>
              <w:bottom w:w="0" w:type="dxa"/>
              <w:right w:w="84" w:type="dxa"/>
            </w:tcMar>
            <w:vAlign w:val="top"/>
          </w:tcPr>
          <w:p w14:paraId="1D1EB5A7">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磋商过程中可能发生实质性变动的内容：</w:t>
            </w:r>
            <w:r>
              <w:rPr>
                <w:rFonts w:hint="eastAsia" w:asciiTheme="minorEastAsia" w:hAnsiTheme="minorEastAsia" w:eastAsiaTheme="minorEastAsia" w:cstheme="minorEastAsia"/>
                <w:color w:val="auto"/>
                <w:spacing w:val="0"/>
                <w:sz w:val="24"/>
                <w:szCs w:val="24"/>
                <w:highlight w:val="none"/>
              </w:rPr>
              <w:t>无</w:t>
            </w:r>
            <w:r>
              <w:rPr>
                <w:rFonts w:hint="eastAsia" w:asciiTheme="minorEastAsia" w:hAnsiTheme="minorEastAsia" w:eastAsiaTheme="minorEastAsia" w:cstheme="minorEastAsia"/>
                <w:color w:val="auto"/>
                <w:highlight w:val="none"/>
              </w:rPr>
              <w:t>。</w:t>
            </w:r>
          </w:p>
        </w:tc>
      </w:tr>
      <w:tr w14:paraId="49448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blCellSpacing w:w="15" w:type="dxa"/>
          <w:jc w:val="center"/>
        </w:trPr>
        <w:tc>
          <w:tcPr>
            <w:tcW w:w="504" w:type="dxa"/>
            <w:noWrap w:val="0"/>
            <w:tcMar>
              <w:top w:w="0" w:type="dxa"/>
              <w:left w:w="84" w:type="dxa"/>
              <w:bottom w:w="0" w:type="dxa"/>
              <w:right w:w="84" w:type="dxa"/>
            </w:tcMar>
            <w:vAlign w:val="center"/>
          </w:tcPr>
          <w:p w14:paraId="4CBBA0AD">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w:t>
            </w:r>
          </w:p>
        </w:tc>
        <w:tc>
          <w:tcPr>
            <w:tcW w:w="1009" w:type="dxa"/>
            <w:noWrap w:val="0"/>
            <w:tcMar>
              <w:top w:w="0" w:type="dxa"/>
              <w:left w:w="84" w:type="dxa"/>
              <w:bottom w:w="0" w:type="dxa"/>
              <w:right w:w="84" w:type="dxa"/>
            </w:tcMar>
            <w:vAlign w:val="center"/>
          </w:tcPr>
          <w:p w14:paraId="3D0F25B0">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14.9</w:t>
            </w:r>
          </w:p>
        </w:tc>
        <w:tc>
          <w:tcPr>
            <w:tcW w:w="8190" w:type="dxa"/>
            <w:noWrap w:val="0"/>
            <w:tcMar>
              <w:top w:w="0" w:type="dxa"/>
              <w:left w:w="84" w:type="dxa"/>
              <w:bottom w:w="0" w:type="dxa"/>
              <w:right w:w="84" w:type="dxa"/>
            </w:tcMar>
            <w:vAlign w:val="center"/>
          </w:tcPr>
          <w:p w14:paraId="2B992787">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评审的标准和方法：具体内容详见竞争性磋商须知前附表专项附件“评审的标准和方法”。</w:t>
            </w:r>
          </w:p>
        </w:tc>
      </w:tr>
      <w:tr w14:paraId="6E29C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blCellSpacing w:w="15" w:type="dxa"/>
          <w:jc w:val="center"/>
        </w:trPr>
        <w:tc>
          <w:tcPr>
            <w:tcW w:w="504" w:type="dxa"/>
            <w:noWrap w:val="0"/>
            <w:tcMar>
              <w:top w:w="0" w:type="dxa"/>
              <w:left w:w="84" w:type="dxa"/>
              <w:bottom w:w="0" w:type="dxa"/>
              <w:right w:w="84" w:type="dxa"/>
            </w:tcMar>
            <w:vAlign w:val="center"/>
          </w:tcPr>
          <w:p w14:paraId="4F3E96FE">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w:t>
            </w:r>
          </w:p>
        </w:tc>
        <w:tc>
          <w:tcPr>
            <w:tcW w:w="1009" w:type="dxa"/>
            <w:noWrap w:val="0"/>
            <w:tcMar>
              <w:top w:w="0" w:type="dxa"/>
              <w:left w:w="84" w:type="dxa"/>
              <w:bottom w:w="0" w:type="dxa"/>
              <w:right w:w="84" w:type="dxa"/>
            </w:tcMar>
            <w:vAlign w:val="center"/>
          </w:tcPr>
          <w:p w14:paraId="6491B3C9">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p>
        </w:tc>
        <w:tc>
          <w:tcPr>
            <w:tcW w:w="8190" w:type="dxa"/>
            <w:noWrap w:val="0"/>
            <w:tcMar>
              <w:top w:w="0" w:type="dxa"/>
              <w:left w:w="84" w:type="dxa"/>
              <w:bottom w:w="0" w:type="dxa"/>
              <w:right w:w="84" w:type="dxa"/>
            </w:tcMar>
            <w:vAlign w:val="center"/>
          </w:tcPr>
          <w:p w14:paraId="2D0909C2">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lang w:eastAsia="zh-CN"/>
              </w:rPr>
            </w:pPr>
            <w:r>
              <w:rPr>
                <w:rStyle w:val="19"/>
                <w:rFonts w:hint="eastAsia" w:asciiTheme="minorEastAsia" w:hAnsiTheme="minorEastAsia" w:eastAsiaTheme="minorEastAsia" w:cstheme="minorEastAsia"/>
                <w:color w:val="auto"/>
                <w:highlight w:val="none"/>
              </w:rPr>
              <w:t>根据采购项目的特点和需要，需要加以详细说明的其他磋商程序规定、要求等内容</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eastAsia="zh-CN"/>
              </w:rPr>
              <w:t>无</w:t>
            </w:r>
          </w:p>
        </w:tc>
      </w:tr>
      <w:tr w14:paraId="3EC2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75" w:hRule="atLeast"/>
          <w:tblCellSpacing w:w="15" w:type="dxa"/>
          <w:jc w:val="center"/>
        </w:trPr>
        <w:tc>
          <w:tcPr>
            <w:tcW w:w="504" w:type="dxa"/>
            <w:noWrap w:val="0"/>
            <w:tcMar>
              <w:top w:w="0" w:type="dxa"/>
              <w:left w:w="84" w:type="dxa"/>
              <w:bottom w:w="0" w:type="dxa"/>
              <w:right w:w="84" w:type="dxa"/>
            </w:tcMar>
            <w:vAlign w:val="center"/>
          </w:tcPr>
          <w:p w14:paraId="7383B3D2">
            <w:pPr>
              <w:pStyle w:val="13"/>
              <w:keepNext w:val="0"/>
              <w:keepLines w:val="0"/>
              <w:widowControl/>
              <w:suppressLineNumbers w:val="0"/>
              <w:spacing w:before="0" w:beforeAutospacing="0" w:after="0" w:afterAutospacing="0" w:line="435" w:lineRule="atLeast"/>
              <w:ind w:left="0" w:leftChars="0" w:right="0" w:rightChars="0"/>
              <w:jc w:val="center"/>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spacing w:val="0"/>
                <w:sz w:val="24"/>
                <w:szCs w:val="24"/>
                <w:highlight w:val="none"/>
              </w:rPr>
              <w:t>11</w:t>
            </w:r>
          </w:p>
        </w:tc>
        <w:tc>
          <w:tcPr>
            <w:tcW w:w="1009" w:type="dxa"/>
            <w:noWrap w:val="0"/>
            <w:tcMar>
              <w:top w:w="0" w:type="dxa"/>
              <w:left w:w="84" w:type="dxa"/>
              <w:bottom w:w="0" w:type="dxa"/>
              <w:right w:w="84" w:type="dxa"/>
            </w:tcMar>
            <w:vAlign w:val="center"/>
          </w:tcPr>
          <w:p w14:paraId="4C00DC5D">
            <w:pPr>
              <w:pStyle w:val="13"/>
              <w:keepNext w:val="0"/>
              <w:keepLines w:val="0"/>
              <w:widowControl/>
              <w:suppressLineNumbers w:val="0"/>
              <w:spacing w:before="0" w:beforeAutospacing="0" w:after="0" w:afterAutospacing="0" w:line="435" w:lineRule="atLeast"/>
              <w:ind w:left="0" w:leftChars="0" w:right="0" w:rightChars="0"/>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spacing w:val="0"/>
                <w:sz w:val="24"/>
                <w:szCs w:val="24"/>
                <w:highlight w:val="none"/>
              </w:rPr>
              <w:t>22.2</w:t>
            </w:r>
          </w:p>
        </w:tc>
        <w:tc>
          <w:tcPr>
            <w:tcW w:w="8190" w:type="dxa"/>
            <w:noWrap w:val="0"/>
            <w:tcMar>
              <w:top w:w="0" w:type="dxa"/>
              <w:left w:w="84" w:type="dxa"/>
              <w:bottom w:w="0" w:type="dxa"/>
              <w:right w:w="84" w:type="dxa"/>
            </w:tcMar>
            <w:vAlign w:val="top"/>
          </w:tcPr>
          <w:p w14:paraId="0032F73F">
            <w:pPr>
              <w:pStyle w:val="13"/>
              <w:keepNext w:val="0"/>
              <w:keepLines w:val="0"/>
              <w:widowControl/>
              <w:suppressLineNumbers w:val="0"/>
              <w:wordWrap w:val="0"/>
              <w:spacing w:before="0" w:beforeAutospacing="0" w:after="0" w:afterAutospacing="0" w:line="435" w:lineRule="atLeast"/>
              <w:ind w:left="0" w:right="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pacing w:val="0"/>
                <w:sz w:val="24"/>
                <w:szCs w:val="24"/>
                <w:highlight w:val="none"/>
              </w:rPr>
              <w:t>信息公告指定媒体（以下简称：“指定媒体”）：</w:t>
            </w:r>
          </w:p>
          <w:p w14:paraId="000C1F77">
            <w:pPr>
              <w:pStyle w:val="13"/>
              <w:keepNext w:val="0"/>
              <w:keepLines w:val="0"/>
              <w:widowControl/>
              <w:suppressLineNumbers w:val="0"/>
              <w:wordWrap w:val="0"/>
              <w:spacing w:before="0" w:beforeAutospacing="0" w:after="0" w:afterAutospacing="0" w:line="435" w:lineRule="atLeast"/>
              <w:ind w:left="0" w:right="0"/>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sz w:val="24"/>
                <w:highlight w:val="none"/>
              </w:rPr>
              <w:t>龙岩学院信息公开网（https://xxgk.lyun.edu.cn/index.htm）</w:t>
            </w: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b w:val="0"/>
                <w:bCs w:val="0"/>
                <w:color w:val="auto"/>
                <w:spacing w:val="0"/>
                <w:sz w:val="24"/>
                <w:szCs w:val="24"/>
                <w:highlight w:val="none"/>
                <w:u w:val="none"/>
                <w:lang w:eastAsia="zh-CN"/>
              </w:rPr>
              <w:t>龙岩市鑫达工程管理有限公司（</w:t>
            </w:r>
            <w:r>
              <w:rPr>
                <w:rFonts w:hint="eastAsia" w:asciiTheme="minorEastAsia" w:hAnsiTheme="minorEastAsia" w:eastAsiaTheme="minorEastAsia" w:cstheme="minorEastAsia"/>
                <w:color w:val="auto"/>
                <w:sz w:val="24"/>
                <w:highlight w:val="none"/>
                <w:lang w:eastAsia="zh-CN"/>
              </w:rPr>
              <w:t>http://admin.lyxdgc.com/</w:t>
            </w:r>
            <w:r>
              <w:rPr>
                <w:rFonts w:hint="eastAsia" w:asciiTheme="minorEastAsia" w:hAnsiTheme="minorEastAsia" w:eastAsiaTheme="minorEastAsia" w:cstheme="minorEastAsia"/>
                <w:b w:val="0"/>
                <w:bCs w:val="0"/>
                <w:color w:val="auto"/>
                <w:spacing w:val="0"/>
                <w:sz w:val="24"/>
                <w:szCs w:val="24"/>
                <w:highlight w:val="none"/>
                <w:u w:val="none"/>
                <w:lang w:eastAsia="zh-CN"/>
              </w:rPr>
              <w:t>）</w:t>
            </w:r>
            <w:r>
              <w:rPr>
                <w:rFonts w:hint="eastAsia" w:asciiTheme="minorEastAsia" w:hAnsiTheme="minorEastAsia" w:eastAsiaTheme="minorEastAsia" w:cstheme="minorEastAsia"/>
                <w:color w:val="auto"/>
                <w:highlight w:val="none"/>
              </w:rPr>
              <w:t>。</w:t>
            </w:r>
          </w:p>
        </w:tc>
      </w:tr>
      <w:tr w14:paraId="2C6CC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blCellSpacing w:w="15" w:type="dxa"/>
          <w:jc w:val="center"/>
        </w:trPr>
        <w:tc>
          <w:tcPr>
            <w:tcW w:w="504" w:type="dxa"/>
            <w:noWrap w:val="0"/>
            <w:tcMar>
              <w:top w:w="0" w:type="dxa"/>
              <w:left w:w="84" w:type="dxa"/>
              <w:bottom w:w="0" w:type="dxa"/>
              <w:right w:w="84" w:type="dxa"/>
            </w:tcMar>
            <w:vAlign w:val="center"/>
          </w:tcPr>
          <w:p w14:paraId="1C53FBEB">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w:t>
            </w:r>
          </w:p>
        </w:tc>
        <w:tc>
          <w:tcPr>
            <w:tcW w:w="1009" w:type="dxa"/>
            <w:noWrap w:val="0"/>
            <w:tcMar>
              <w:top w:w="0" w:type="dxa"/>
              <w:left w:w="84" w:type="dxa"/>
              <w:bottom w:w="0" w:type="dxa"/>
              <w:right w:w="84" w:type="dxa"/>
            </w:tcMar>
            <w:vAlign w:val="center"/>
          </w:tcPr>
          <w:p w14:paraId="2EE03E6C">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23.1</w:t>
            </w:r>
          </w:p>
        </w:tc>
        <w:tc>
          <w:tcPr>
            <w:tcW w:w="8190" w:type="dxa"/>
            <w:noWrap w:val="0"/>
            <w:tcMar>
              <w:top w:w="0" w:type="dxa"/>
              <w:left w:w="84" w:type="dxa"/>
              <w:bottom w:w="0" w:type="dxa"/>
              <w:right w:w="84" w:type="dxa"/>
            </w:tcMar>
            <w:vAlign w:val="center"/>
          </w:tcPr>
          <w:p w14:paraId="39EF782B">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本项目监督管理部门：</w:t>
            </w:r>
            <w:r>
              <w:rPr>
                <w:rStyle w:val="19"/>
                <w:rFonts w:hint="eastAsia" w:asciiTheme="minorEastAsia" w:hAnsiTheme="minorEastAsia" w:eastAsiaTheme="minorEastAsia" w:cstheme="minorEastAsia"/>
                <w:color w:val="auto"/>
                <w:highlight w:val="none"/>
                <w:lang w:val="en-US" w:eastAsia="zh-CN"/>
              </w:rPr>
              <w:t>龙岩学院</w:t>
            </w:r>
            <w:r>
              <w:rPr>
                <w:rStyle w:val="19"/>
                <w:rFonts w:hint="eastAsia" w:asciiTheme="minorEastAsia" w:hAnsiTheme="minorEastAsia" w:eastAsiaTheme="minorEastAsia" w:cstheme="minorEastAsia"/>
                <w:color w:val="auto"/>
                <w:highlight w:val="none"/>
              </w:rPr>
              <w:t>。</w:t>
            </w:r>
          </w:p>
        </w:tc>
      </w:tr>
      <w:tr w14:paraId="0FB51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4" w:hRule="atLeast"/>
          <w:tblCellSpacing w:w="15" w:type="dxa"/>
          <w:jc w:val="center"/>
        </w:trPr>
        <w:tc>
          <w:tcPr>
            <w:tcW w:w="504" w:type="dxa"/>
            <w:noWrap w:val="0"/>
            <w:tcMar>
              <w:top w:w="0" w:type="dxa"/>
              <w:left w:w="84" w:type="dxa"/>
              <w:bottom w:w="0" w:type="dxa"/>
              <w:right w:w="84" w:type="dxa"/>
            </w:tcMar>
            <w:vAlign w:val="center"/>
          </w:tcPr>
          <w:p w14:paraId="1C5D04E2">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w:t>
            </w:r>
          </w:p>
        </w:tc>
        <w:tc>
          <w:tcPr>
            <w:tcW w:w="1009" w:type="dxa"/>
            <w:noWrap w:val="0"/>
            <w:tcMar>
              <w:top w:w="0" w:type="dxa"/>
              <w:left w:w="84" w:type="dxa"/>
              <w:bottom w:w="0" w:type="dxa"/>
              <w:right w:w="84" w:type="dxa"/>
            </w:tcMar>
            <w:vAlign w:val="center"/>
          </w:tcPr>
          <w:p w14:paraId="343F4501">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24.1</w:t>
            </w:r>
          </w:p>
        </w:tc>
        <w:tc>
          <w:tcPr>
            <w:tcW w:w="8190" w:type="dxa"/>
            <w:noWrap w:val="0"/>
            <w:tcMar>
              <w:top w:w="0" w:type="dxa"/>
              <w:left w:w="84" w:type="dxa"/>
              <w:bottom w:w="0" w:type="dxa"/>
              <w:right w:w="84" w:type="dxa"/>
            </w:tcMar>
            <w:vAlign w:val="center"/>
          </w:tcPr>
          <w:p w14:paraId="376C6588">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lang w:val="en-US" w:eastAsia="zh-CN"/>
              </w:rPr>
            </w:pPr>
            <w:r>
              <w:rPr>
                <w:rStyle w:val="19"/>
                <w:rFonts w:hint="eastAsia" w:asciiTheme="minorEastAsia" w:hAnsiTheme="minorEastAsia" w:eastAsiaTheme="minorEastAsia" w:cstheme="minorEastAsia"/>
                <w:color w:val="auto"/>
                <w:highlight w:val="none"/>
              </w:rPr>
              <w:t>履约保证金：</w:t>
            </w:r>
            <w:r>
              <w:rPr>
                <w:rStyle w:val="19"/>
                <w:rFonts w:hint="eastAsia" w:asciiTheme="minorEastAsia" w:hAnsiTheme="minorEastAsia" w:eastAsiaTheme="minorEastAsia" w:cstheme="minorEastAsia"/>
                <w:color w:val="auto"/>
                <w:highlight w:val="none"/>
                <w:lang w:val="en-US" w:eastAsia="zh-CN"/>
              </w:rPr>
              <w:t>否。</w:t>
            </w:r>
          </w:p>
        </w:tc>
      </w:tr>
      <w:tr w14:paraId="57CDF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4" w:hRule="atLeast"/>
          <w:tblCellSpacing w:w="15" w:type="dxa"/>
          <w:jc w:val="center"/>
        </w:trPr>
        <w:tc>
          <w:tcPr>
            <w:tcW w:w="504" w:type="dxa"/>
            <w:noWrap w:val="0"/>
            <w:tcMar>
              <w:top w:w="0" w:type="dxa"/>
              <w:left w:w="84" w:type="dxa"/>
              <w:bottom w:w="0" w:type="dxa"/>
              <w:right w:w="84" w:type="dxa"/>
            </w:tcMar>
            <w:vAlign w:val="center"/>
          </w:tcPr>
          <w:p w14:paraId="4FDDEE5A">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w:t>
            </w:r>
          </w:p>
        </w:tc>
        <w:tc>
          <w:tcPr>
            <w:tcW w:w="1009" w:type="dxa"/>
            <w:noWrap w:val="0"/>
            <w:tcMar>
              <w:top w:w="0" w:type="dxa"/>
              <w:left w:w="84" w:type="dxa"/>
              <w:bottom w:w="0" w:type="dxa"/>
              <w:right w:w="84" w:type="dxa"/>
            </w:tcMar>
            <w:vAlign w:val="center"/>
          </w:tcPr>
          <w:p w14:paraId="3EB49B4F">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25</w:t>
            </w:r>
          </w:p>
        </w:tc>
        <w:tc>
          <w:tcPr>
            <w:tcW w:w="8190" w:type="dxa"/>
            <w:noWrap w:val="0"/>
            <w:tcMar>
              <w:top w:w="0" w:type="dxa"/>
              <w:left w:w="84" w:type="dxa"/>
              <w:bottom w:w="0" w:type="dxa"/>
              <w:right w:w="84" w:type="dxa"/>
            </w:tcMar>
            <w:vAlign w:val="center"/>
          </w:tcPr>
          <w:p w14:paraId="2A4E0D94">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根据采购项目特点或政策需要补充的其他新增内容：</w:t>
            </w:r>
          </w:p>
          <w:p w14:paraId="6307EC27">
            <w:pPr>
              <w:pStyle w:val="13"/>
              <w:widowControl/>
              <w:numPr>
                <w:ilvl w:val="0"/>
                <w:numId w:val="0"/>
              </w:numPr>
              <w:spacing w:before="0" w:beforeAutospacing="0" w:after="0" w:afterAutospacing="0" w:line="348" w:lineRule="atLeast"/>
              <w:ind w:right="0" w:rightChars="0"/>
              <w:rPr>
                <w:rFonts w:hint="eastAsia" w:asciiTheme="minorEastAsia" w:hAnsiTheme="minorEastAsia" w:eastAsiaTheme="minorEastAsia" w:cstheme="minorEastAsia"/>
                <w:color w:val="auto"/>
                <w:spacing w:val="0"/>
                <w:sz w:val="24"/>
                <w:szCs w:val="24"/>
                <w:highlight w:val="none"/>
                <w:lang w:eastAsia="zh-CN"/>
              </w:rPr>
            </w:pPr>
            <w:r>
              <w:rPr>
                <w:rFonts w:hint="eastAsia" w:asciiTheme="minorEastAsia" w:hAnsiTheme="minorEastAsia" w:eastAsiaTheme="minorEastAsia" w:cstheme="minorEastAsia"/>
                <w:color w:val="auto"/>
                <w:spacing w:val="0"/>
                <w:sz w:val="24"/>
                <w:szCs w:val="24"/>
                <w:highlight w:val="none"/>
                <w:lang w:val="en-US" w:eastAsia="zh-CN"/>
              </w:rPr>
              <w:t>1、</w:t>
            </w:r>
            <w:r>
              <w:rPr>
                <w:rFonts w:hint="eastAsia" w:asciiTheme="minorEastAsia" w:hAnsiTheme="minorEastAsia" w:eastAsiaTheme="minorEastAsia" w:cstheme="minorEastAsia"/>
                <w:color w:val="auto"/>
                <w:spacing w:val="0"/>
                <w:sz w:val="24"/>
                <w:szCs w:val="24"/>
                <w:highlight w:val="none"/>
              </w:rPr>
              <w:t>本项目</w:t>
            </w:r>
            <w:r>
              <w:rPr>
                <w:rFonts w:hint="eastAsia" w:asciiTheme="minorEastAsia" w:hAnsiTheme="minorEastAsia" w:eastAsiaTheme="minorEastAsia" w:cstheme="minorEastAsia"/>
                <w:color w:val="auto"/>
                <w:spacing w:val="0"/>
                <w:sz w:val="24"/>
                <w:szCs w:val="24"/>
                <w:highlight w:val="none"/>
                <w:lang w:eastAsia="zh-CN"/>
              </w:rPr>
              <w:t>成交</w:t>
            </w:r>
            <w:r>
              <w:rPr>
                <w:rFonts w:hint="eastAsia" w:asciiTheme="minorEastAsia" w:hAnsiTheme="minorEastAsia" w:eastAsiaTheme="minorEastAsia" w:cstheme="minorEastAsia"/>
                <w:color w:val="auto"/>
                <w:spacing w:val="0"/>
                <w:sz w:val="24"/>
                <w:szCs w:val="24"/>
                <w:highlight w:val="none"/>
              </w:rPr>
              <w:t>代理服务费由</w:t>
            </w:r>
            <w:r>
              <w:rPr>
                <w:rFonts w:hint="eastAsia" w:asciiTheme="minorEastAsia" w:hAnsiTheme="minorEastAsia" w:eastAsiaTheme="minorEastAsia" w:cstheme="minorEastAsia"/>
                <w:color w:val="auto"/>
                <w:spacing w:val="0"/>
                <w:sz w:val="24"/>
                <w:szCs w:val="24"/>
                <w:highlight w:val="none"/>
                <w:lang w:val="en-US" w:eastAsia="zh-CN"/>
              </w:rPr>
              <w:t>成交供应商</w:t>
            </w:r>
            <w:r>
              <w:rPr>
                <w:rFonts w:hint="eastAsia" w:asciiTheme="minorEastAsia" w:hAnsiTheme="minorEastAsia" w:eastAsiaTheme="minorEastAsia" w:cstheme="minorEastAsia"/>
                <w:color w:val="auto"/>
                <w:spacing w:val="0"/>
                <w:sz w:val="24"/>
                <w:szCs w:val="24"/>
                <w:highlight w:val="none"/>
              </w:rPr>
              <w:t>支付</w:t>
            </w:r>
            <w:r>
              <w:rPr>
                <w:rFonts w:hint="eastAsia" w:asciiTheme="minorEastAsia" w:hAnsiTheme="minorEastAsia" w:eastAsiaTheme="minorEastAsia" w:cstheme="minorEastAsia"/>
                <w:color w:val="auto"/>
                <w:spacing w:val="0"/>
                <w:sz w:val="24"/>
                <w:szCs w:val="24"/>
                <w:highlight w:val="none"/>
                <w:lang w:eastAsia="zh-CN"/>
              </w:rPr>
              <w:t>，</w:t>
            </w:r>
            <w:r>
              <w:rPr>
                <w:rFonts w:hint="eastAsia" w:asciiTheme="minorEastAsia" w:hAnsiTheme="minorEastAsia" w:eastAsiaTheme="minorEastAsia" w:cstheme="minorEastAsia"/>
                <w:color w:val="auto"/>
                <w:spacing w:val="0"/>
                <w:sz w:val="24"/>
                <w:szCs w:val="24"/>
                <w:highlight w:val="none"/>
                <w:lang w:val="en-US" w:eastAsia="zh-CN"/>
              </w:rPr>
              <w:t>成交代理服务费收费标准：按差额定率累进法计算：成交金额（100万元以下）×服务费比率1.5％</w:t>
            </w:r>
            <w:r>
              <w:rPr>
                <w:rFonts w:hint="eastAsia" w:asciiTheme="minorEastAsia" w:hAnsiTheme="minorEastAsia" w:eastAsiaTheme="minorEastAsia" w:cstheme="minorEastAsia"/>
                <w:color w:val="auto"/>
                <w:spacing w:val="0"/>
                <w:sz w:val="24"/>
                <w:szCs w:val="24"/>
                <w:highlight w:val="none"/>
              </w:rPr>
              <w:t>。</w:t>
            </w:r>
          </w:p>
        </w:tc>
      </w:tr>
    </w:tbl>
    <w:p w14:paraId="03B114B9">
      <w:pPr>
        <w:pStyle w:val="13"/>
        <w:widowControl/>
        <w:spacing w:before="60" w:beforeAutospacing="0" w:after="60" w:afterAutospacing="0" w:line="348" w:lineRule="atLeast"/>
        <w:rPr>
          <w:rFonts w:hint="eastAsia" w:asciiTheme="minorEastAsia" w:hAnsiTheme="minorEastAsia" w:eastAsiaTheme="minorEastAsia" w:cstheme="minorEastAsia"/>
          <w:color w:val="auto"/>
          <w:sz w:val="19"/>
          <w:szCs w:val="19"/>
          <w:highlight w:val="none"/>
        </w:rPr>
      </w:pPr>
      <w:r>
        <w:rPr>
          <w:rFonts w:hint="eastAsia" w:asciiTheme="minorEastAsia" w:hAnsiTheme="minorEastAsia" w:eastAsiaTheme="minorEastAsia" w:cstheme="minorEastAsia"/>
          <w:color w:val="auto"/>
          <w:sz w:val="19"/>
          <w:szCs w:val="19"/>
          <w:highlight w:val="none"/>
        </w:rPr>
        <w:t> </w:t>
      </w:r>
    </w:p>
    <w:p w14:paraId="7EACDA67">
      <w:pPr>
        <w:pStyle w:val="13"/>
        <w:widowControl/>
        <w:spacing w:before="60" w:beforeAutospacing="0" w:after="60" w:afterAutospacing="0" w:line="348" w:lineRule="atLeast"/>
        <w:rPr>
          <w:rFonts w:hint="eastAsia" w:asciiTheme="minorEastAsia" w:hAnsiTheme="minorEastAsia" w:eastAsiaTheme="minorEastAsia" w:cstheme="minorEastAsia"/>
          <w:color w:val="auto"/>
          <w:sz w:val="19"/>
          <w:szCs w:val="19"/>
          <w:highlight w:val="none"/>
        </w:rPr>
      </w:pPr>
    </w:p>
    <w:p w14:paraId="68BE0E7B">
      <w:pPr>
        <w:pStyle w:val="13"/>
        <w:widowControl/>
        <w:spacing w:before="0" w:beforeAutospacing="0" w:after="0" w:afterAutospacing="0" w:line="500" w:lineRule="exact"/>
        <w:rPr>
          <w:rStyle w:val="19"/>
          <w:rFonts w:hint="eastAsia" w:asciiTheme="minorEastAsia" w:hAnsiTheme="minorEastAsia" w:eastAsiaTheme="minorEastAsia" w:cstheme="minorEastAsia"/>
          <w:color w:val="auto"/>
          <w:highlight w:val="none"/>
        </w:rPr>
      </w:pPr>
    </w:p>
    <w:p w14:paraId="4FA898C3">
      <w:pPr>
        <w:rPr>
          <w:rStyle w:val="19"/>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br w:type="page"/>
      </w:r>
    </w:p>
    <w:p w14:paraId="60A45848">
      <w:pPr>
        <w:rPr>
          <w:rStyle w:val="19"/>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专项附件：             </w:t>
      </w:r>
    </w:p>
    <w:p w14:paraId="1F2F76D0">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评审的标准和方法</w:t>
      </w:r>
    </w:p>
    <w:p w14:paraId="6A2ADA4C">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一、磋商小组</w:t>
      </w:r>
    </w:p>
    <w:p w14:paraId="7FE1958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人根据项目的特点依法组建磋商小组。</w:t>
      </w:r>
    </w:p>
    <w:p w14:paraId="24179BF9">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1.2磋商小组由</w:t>
      </w:r>
      <w:r>
        <w:rPr>
          <w:rFonts w:hint="eastAsia" w:asciiTheme="minorEastAsia" w:hAnsiTheme="minorEastAsia" w:eastAsiaTheme="minorEastAsia" w:cstheme="minorEastAsia"/>
          <w:color w:val="auto"/>
          <w:highlight w:val="none"/>
          <w:u w:val="single"/>
        </w:rPr>
        <w:t>3</w:t>
      </w:r>
      <w:r>
        <w:rPr>
          <w:rFonts w:hint="eastAsia" w:asciiTheme="minorEastAsia" w:hAnsiTheme="minorEastAsia" w:eastAsiaTheme="minorEastAsia" w:cstheme="minorEastAsia"/>
          <w:color w:val="auto"/>
          <w:highlight w:val="none"/>
        </w:rPr>
        <w:t>人组成。</w:t>
      </w:r>
    </w:p>
    <w:p w14:paraId="29489D2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1.3磋商小组负责具体磋商和评审事务，并按照下列原则依法独立履行有关职责：</w:t>
      </w:r>
    </w:p>
    <w:p w14:paraId="3CDC433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1.3.1评审应保护国家利益、社会公共利益和各方当事人合法权益，提高</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效益，保证项目质量。</w:t>
      </w:r>
    </w:p>
    <w:p w14:paraId="1DFB1D93">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1.3.2评审应遵循公平、公正、科学、严谨和择优原则。</w:t>
      </w:r>
    </w:p>
    <w:p w14:paraId="70916B6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1.3.3评审的依据是磋商文件和响应文件，磋商文件中没有规定的评审标准不得作为评审依据。</w:t>
      </w:r>
    </w:p>
    <w:p w14:paraId="1FECEF5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1.3.4评委应按照磋商文件规定推荐成交候选供应商或根据</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人的授权确定成交人。</w:t>
      </w:r>
    </w:p>
    <w:p w14:paraId="7759D44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1.3.5评审应遵守下列评审纪律：</w:t>
      </w:r>
    </w:p>
    <w:p w14:paraId="31E7E07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①评审情况不得私自外泄，有关信息由</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人或其委托的代理机构统一对外发布。</w:t>
      </w:r>
    </w:p>
    <w:p w14:paraId="0B2E2BEB">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②对</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人或供应商提供的要求保密的资料，不得摘记翻印和外传。</w:t>
      </w:r>
    </w:p>
    <w:p w14:paraId="3BF5CF6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③不得收受供应商或有关人员的任何礼物，不得串联鼓动其他人袒护某供应商。若与供应商存在利害关系，则应主动声明并回避。</w:t>
      </w:r>
    </w:p>
    <w:p w14:paraId="74CAC64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④全体评委成员应按照磋商文件规定进行评审，一切认定事项应查有实据且不得弄虚作假。</w:t>
      </w:r>
    </w:p>
    <w:p w14:paraId="618DEBBD">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⑤评审中应充分发扬民主，推荐成交人候选人或根据</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人授权确定成交人后要服从评审报告。</w:t>
      </w:r>
    </w:p>
    <w:p w14:paraId="7DB5EB51">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※对违反评审纪律的</w:t>
      </w:r>
      <w:r>
        <w:rPr>
          <w:rStyle w:val="19"/>
          <w:rFonts w:hint="eastAsia" w:asciiTheme="minorEastAsia" w:hAnsiTheme="minorEastAsia" w:eastAsiaTheme="minorEastAsia" w:cstheme="minorEastAsia"/>
          <w:color w:val="auto"/>
          <w:spacing w:val="0"/>
          <w:sz w:val="24"/>
          <w:szCs w:val="24"/>
          <w:highlight w:val="none"/>
        </w:rPr>
        <w:t>评委</w:t>
      </w:r>
      <w:r>
        <w:rPr>
          <w:rStyle w:val="19"/>
          <w:rFonts w:hint="eastAsia" w:asciiTheme="minorEastAsia" w:hAnsiTheme="minorEastAsia" w:eastAsiaTheme="minorEastAsia" w:cstheme="minorEastAsia"/>
          <w:color w:val="auto"/>
          <w:highlight w:val="none"/>
        </w:rPr>
        <w:t>，将取消其评委资格，对评审工作造成严重损失者将予以通报批评乃至追究法律责任。</w:t>
      </w:r>
    </w:p>
    <w:p w14:paraId="5F833431">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二、</w:t>
      </w:r>
      <w:r>
        <w:rPr>
          <w:rStyle w:val="19"/>
          <w:rFonts w:hint="eastAsia" w:asciiTheme="minorEastAsia" w:hAnsiTheme="minorEastAsia" w:eastAsiaTheme="minorEastAsia" w:cstheme="minorEastAsia"/>
          <w:color w:val="auto"/>
          <w:highlight w:val="none"/>
        </w:rPr>
        <w:t>磋商程序</w:t>
      </w:r>
    </w:p>
    <w:p w14:paraId="594C143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2.1磋商程序按照磋商文件第二章第2节“竞争性磋商须知”第14条“磋商程序以及评审标准和方法”的相关条款规定执行。</w:t>
      </w:r>
    </w:p>
    <w:p w14:paraId="2A60338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2.2磋商文件不能详细列明</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标的的技术、服务要求，需经磋商由供应商提供最终设计方案或解决方案的，磋商结束后，磋商小组应当按照少数服从多数的原则投票推荐3家以上供应商的设计方案或者解决方案，并要求其在规定时间内提交最后报价。属于《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方式管理暂行办法》等相关法律法规及财政部门颁布的规范性文件允许的两家供应商进行竞争性磋商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情形，则提交最后报价的供应商可以为两家。</w:t>
      </w:r>
    </w:p>
    <w:p w14:paraId="3ACC1699">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2.3只有资格审查和实质性响应审查均合格且按规定提交最后报价的合格供应商才能参加综合评分。</w:t>
      </w:r>
    </w:p>
    <w:p w14:paraId="4039BCCD">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三、综合评分的标准和方法</w:t>
      </w:r>
    </w:p>
    <w:p w14:paraId="776ADD5B">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3.1磋商小组将采用综合评分法对提交最后报价的合格供应商的响应文件和最后报价进行综合评分。如果磋商项目有多个合同包，则按相应合同包分别进行，具体综合评分的标准和方法如下：</w:t>
      </w:r>
    </w:p>
    <w:p w14:paraId="42F637B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3.3.1磋商小组将对相应合同包提交最后报价的合格供应商从技术、商务及报价部分分别进行评议并评分，并汇总出技术、商务及报价部分的综合得分。各合同包综合得分最高的供应商将被推荐为第一成交候选供应商，综合得分第二高的供应商将被推荐为第二成交候选供应商，综合得分第三高的供应商将被推荐为第三成交候选供应商(属于《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方式管理暂行办法》等相关法律法规及财政部门颁布的规范性文件允许的两家供应商进行竞争性磋商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情形，则不推荐第三成交候选供应商)。如果出现相同的综合得分，则最后报价低的供应商排序在前优先推荐；如果最后报价仍相同，则技术部分得分高的供应商优先排序在前推荐。</w:t>
      </w:r>
    </w:p>
    <w:p w14:paraId="14A5E8D2">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3.3.2具体评审标准和方法：</w:t>
      </w:r>
    </w:p>
    <w:p w14:paraId="2A2A2D65">
      <w:pPr>
        <w:pStyle w:val="42"/>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（1）响应文件满足磋商文件全部实质性要求，且按照评审因素的量化指标综合评审总得分从高到低顺序推荐3名以上成交候选人供应商，其中评审总得分最高的供应商为第一成交候选供应商。</w:t>
      </w:r>
    </w:p>
    <w:p w14:paraId="0EB82433">
      <w:pPr>
        <w:pStyle w:val="42"/>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每个供应商的评审总得分FA＝F1×A1＋F2×A2＋F3×A3，其中：F1指价格项评审因素得分、F2指技术项评审因素得分、F3指商务项评审因素得分，A1指价格项评审因素所占的权重、A2指技术项评审因素所占的权重、A3指商务项评审因素所占的权重，A1＋A2＋A3=1、F1×A1＋F2×A2＋F3×A3=100分（满分时）。</w:t>
      </w:r>
    </w:p>
    <w:p w14:paraId="6F49E0DE">
      <w:pPr>
        <w:pStyle w:val="42"/>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（3）各项评审因素的设置如下：</w:t>
      </w:r>
    </w:p>
    <w:p w14:paraId="18D9BC46">
      <w:pPr>
        <w:pStyle w:val="42"/>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采购包1：综合评分法</w:t>
      </w:r>
    </w:p>
    <w:p w14:paraId="6FE37974">
      <w:pPr>
        <w:pStyle w:val="42"/>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各项评审因素的设置如下：</w:t>
      </w:r>
    </w:p>
    <w:p w14:paraId="7BFE509E">
      <w:pPr>
        <w:pStyle w:val="42"/>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报价部分评分PF满分为</w:t>
      </w:r>
      <w:r>
        <w:rPr>
          <w:rFonts w:hint="eastAsia" w:asciiTheme="minorEastAsia" w:hAnsiTheme="minorEastAsia" w:cstheme="minorEastAsia"/>
          <w:color w:val="auto"/>
          <w:sz w:val="24"/>
          <w:szCs w:val="24"/>
          <w:highlight w:val="none"/>
          <w:u w:val="single"/>
          <w:lang w:val="en-US" w:eastAsia="zh-CN"/>
        </w:rPr>
        <w:t>10</w:t>
      </w:r>
      <w:r>
        <w:rPr>
          <w:rFonts w:hint="eastAsia" w:asciiTheme="minorEastAsia" w:hAnsiTheme="minorEastAsia" w:eastAsiaTheme="minorEastAsia" w:cstheme="minorEastAsia"/>
          <w:color w:val="auto"/>
          <w:sz w:val="24"/>
          <w:szCs w:val="24"/>
          <w:highlight w:val="none"/>
        </w:rPr>
        <w:t>分</w:t>
      </w:r>
    </w:p>
    <w:p w14:paraId="6F5B772D">
      <w:pPr>
        <w:pStyle w:val="42"/>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F1指价格项评审因素得分＝（评标基准价/投标报价）×100×价格项评审因素所占的权重（注：满足招标文件要求且投标价格最低的投标报价为评标基准价。）最低报价不是</w:t>
      </w:r>
      <w:r>
        <w:rPr>
          <w:rFonts w:hint="eastAsia" w:asciiTheme="minorEastAsia" w:hAnsiTheme="minorEastAsia" w:cstheme="minorEastAsia"/>
          <w:color w:val="auto"/>
          <w:sz w:val="24"/>
          <w:szCs w:val="24"/>
          <w:highlight w:val="none"/>
          <w:lang w:eastAsia="zh-CN"/>
        </w:rPr>
        <w:t>成交</w:t>
      </w:r>
      <w:r>
        <w:rPr>
          <w:rFonts w:hint="eastAsia" w:asciiTheme="minorEastAsia" w:hAnsiTheme="minorEastAsia" w:eastAsiaTheme="minorEastAsia" w:cstheme="minorEastAsia"/>
          <w:color w:val="auto"/>
          <w:sz w:val="24"/>
          <w:szCs w:val="24"/>
          <w:highlight w:val="none"/>
        </w:rPr>
        <w:t>的唯一依据。因落实政府采购政策进行价格调整的，以调整后的价格计算评标基准价和投标报价。</w:t>
      </w:r>
    </w:p>
    <w:p w14:paraId="7CD0EAB1">
      <w:pPr>
        <w:pStyle w:val="42"/>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价格扣除的规则如下：</w:t>
      </w:r>
      <w:r>
        <w:rPr>
          <w:rFonts w:hint="eastAsia" w:asciiTheme="minorEastAsia" w:hAnsiTheme="minorEastAsia" w:eastAsiaTheme="minorEastAsia" w:cstheme="minorEastAsia"/>
          <w:color w:val="auto"/>
          <w:sz w:val="24"/>
          <w:szCs w:val="24"/>
          <w:highlight w:val="none"/>
          <w:lang w:val="en-US" w:eastAsia="zh-CN"/>
        </w:rPr>
        <w:t>无</w:t>
      </w:r>
    </w:p>
    <w:p w14:paraId="1598FC47">
      <w:pPr>
        <w:widowControl/>
        <w:numPr>
          <w:ilvl w:val="0"/>
          <w:numId w:val="0"/>
        </w:numPr>
        <w:spacing w:before="100" w:beforeAutospacing="1" w:after="100" w:afterAutospacing="1" w:line="420" w:lineRule="atLeast"/>
        <w:ind w:left="480" w:leftChars="0" w:right="0" w:rightChars="0"/>
        <w:jc w:val="left"/>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技术部分评分PT满分为</w:t>
      </w:r>
      <w:r>
        <w:rPr>
          <w:rFonts w:hint="eastAsia" w:asciiTheme="minorEastAsia" w:hAnsiTheme="minorEastAsia" w:eastAsiaTheme="minorEastAsia" w:cstheme="minorEastAsia"/>
          <w:color w:val="auto"/>
          <w:kern w:val="0"/>
          <w:sz w:val="24"/>
          <w:szCs w:val="24"/>
          <w:highlight w:val="none"/>
          <w:u w:val="single"/>
          <w:lang w:val="en-US" w:eastAsia="zh-CN" w:bidi="ar"/>
        </w:rPr>
        <w:t>80</w:t>
      </w:r>
      <w:r>
        <w:rPr>
          <w:rFonts w:hint="eastAsia" w:asciiTheme="minorEastAsia" w:hAnsiTheme="minorEastAsia" w:eastAsiaTheme="minorEastAsia" w:cstheme="minorEastAsia"/>
          <w:color w:val="auto"/>
          <w:kern w:val="0"/>
          <w:sz w:val="24"/>
          <w:szCs w:val="24"/>
          <w:highlight w:val="none"/>
          <w:lang w:val="en-US" w:eastAsia="zh-CN" w:bidi="ar"/>
        </w:rPr>
        <w:t>分</w:t>
      </w:r>
    </w:p>
    <w:tbl>
      <w:tblPr>
        <w:tblStyle w:val="16"/>
        <w:tblW w:w="979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341"/>
        <w:gridCol w:w="787"/>
        <w:gridCol w:w="900"/>
        <w:gridCol w:w="6767"/>
      </w:tblGrid>
      <w:tr w14:paraId="4D2BAF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593C1C89">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787" w:type="dxa"/>
            <w:vAlign w:val="center"/>
          </w:tcPr>
          <w:p w14:paraId="16B898FD">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分值</w:t>
            </w:r>
          </w:p>
        </w:tc>
        <w:tc>
          <w:tcPr>
            <w:tcW w:w="900" w:type="dxa"/>
            <w:vAlign w:val="center"/>
          </w:tcPr>
          <w:p w14:paraId="46E7E09B">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是否客观项</w:t>
            </w:r>
          </w:p>
        </w:tc>
        <w:tc>
          <w:tcPr>
            <w:tcW w:w="6767" w:type="dxa"/>
            <w:vAlign w:val="center"/>
          </w:tcPr>
          <w:p w14:paraId="5654E958">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描述</w:t>
            </w:r>
          </w:p>
        </w:tc>
      </w:tr>
      <w:tr w14:paraId="365E5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50D34D9B">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rPr>
              <w:t>学生端测评报告</w:t>
            </w:r>
            <w:r>
              <w:rPr>
                <w:rFonts w:hint="eastAsia" w:ascii="宋体" w:hAnsi="宋体" w:eastAsia="宋体" w:cs="宋体"/>
                <w:color w:val="auto"/>
                <w:kern w:val="2"/>
                <w:sz w:val="21"/>
                <w:szCs w:val="21"/>
                <w:lang w:val="en-US" w:eastAsia="zh-CN"/>
              </w:rPr>
              <w:t>能力</w:t>
            </w:r>
          </w:p>
        </w:tc>
        <w:tc>
          <w:tcPr>
            <w:tcW w:w="787" w:type="dxa"/>
            <w:vAlign w:val="center"/>
          </w:tcPr>
          <w:p w14:paraId="2B938457">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p>
        </w:tc>
        <w:tc>
          <w:tcPr>
            <w:tcW w:w="900" w:type="dxa"/>
            <w:vAlign w:val="center"/>
          </w:tcPr>
          <w:p w14:paraId="701363C2">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是</w:t>
            </w:r>
          </w:p>
        </w:tc>
        <w:tc>
          <w:tcPr>
            <w:tcW w:w="6767" w:type="dxa"/>
            <w:vAlign w:val="center"/>
          </w:tcPr>
          <w:p w14:paraId="63258007">
            <w:pPr>
              <w:pStyle w:val="42"/>
              <w:jc w:val="both"/>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rPr>
              <w:t>供应商所投平台移动端支持生涯体验周输出手机端测评报告、生涯发展报告；支持就业体验周输出就业率诊断报告；学生完成活动后可通过手机端实时接收测评结果。完全满足本项全部要求</w:t>
            </w:r>
            <w:r>
              <w:rPr>
                <w:rFonts w:hint="eastAsia" w:ascii="宋体" w:hAnsi="宋体" w:eastAsia="宋体" w:cs="宋体"/>
                <w:bCs/>
                <w:color w:val="auto"/>
                <w:kern w:val="2"/>
                <w:sz w:val="21"/>
                <w:szCs w:val="21"/>
                <w:lang w:val="en-US" w:eastAsia="zh-CN"/>
              </w:rPr>
              <w:t>的</w:t>
            </w:r>
            <w:r>
              <w:rPr>
                <w:rFonts w:hint="eastAsia" w:ascii="宋体" w:hAnsi="宋体" w:eastAsia="宋体" w:cs="宋体"/>
                <w:bCs/>
                <w:color w:val="auto"/>
                <w:kern w:val="2"/>
                <w:sz w:val="21"/>
                <w:szCs w:val="21"/>
              </w:rPr>
              <w:t>得 8分</w:t>
            </w:r>
            <w:r>
              <w:rPr>
                <w:rFonts w:hint="eastAsia" w:ascii="宋体" w:hAnsi="宋体" w:eastAsia="宋体" w:cs="宋体"/>
                <w:bCs/>
                <w:color w:val="auto"/>
                <w:kern w:val="2"/>
                <w:sz w:val="21"/>
                <w:szCs w:val="21"/>
                <w:lang w:eastAsia="zh-CN"/>
              </w:rPr>
              <w:t>。</w:t>
            </w:r>
            <w:r>
              <w:rPr>
                <w:rFonts w:hint="eastAsia" w:ascii="宋体" w:hAnsi="宋体" w:eastAsia="宋体" w:cs="宋体"/>
                <w:b/>
                <w:bCs w:val="0"/>
                <w:color w:val="auto"/>
                <w:kern w:val="2"/>
                <w:sz w:val="21"/>
                <w:szCs w:val="21"/>
              </w:rPr>
              <w:t>须提供截图证明材料，每缺少一项或不满足要求</w:t>
            </w:r>
            <w:r>
              <w:rPr>
                <w:rFonts w:hint="eastAsia" w:ascii="宋体" w:hAnsi="宋体" w:eastAsia="宋体" w:cs="宋体"/>
                <w:b/>
                <w:bCs w:val="0"/>
                <w:color w:val="auto"/>
                <w:kern w:val="2"/>
                <w:sz w:val="21"/>
                <w:szCs w:val="21"/>
                <w:lang w:val="en-US" w:eastAsia="zh-CN"/>
              </w:rPr>
              <w:t>不得分</w:t>
            </w:r>
            <w:r>
              <w:rPr>
                <w:rFonts w:hint="eastAsia" w:ascii="宋体" w:hAnsi="宋体" w:eastAsia="宋体" w:cs="宋体"/>
                <w:b/>
                <w:bCs w:val="0"/>
                <w:color w:val="auto"/>
                <w:kern w:val="2"/>
                <w:sz w:val="21"/>
                <w:szCs w:val="21"/>
              </w:rPr>
              <w:t>。</w:t>
            </w:r>
          </w:p>
        </w:tc>
      </w:tr>
      <w:tr w14:paraId="3F7F4C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6664DD03">
            <w:pPr>
              <w:pStyle w:val="42"/>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bCs/>
                <w:color w:val="auto"/>
                <w:kern w:val="2"/>
                <w:sz w:val="21"/>
                <w:szCs w:val="21"/>
              </w:rPr>
              <w:t>AI大数据平台</w:t>
            </w:r>
          </w:p>
        </w:tc>
        <w:tc>
          <w:tcPr>
            <w:tcW w:w="787" w:type="dxa"/>
            <w:vAlign w:val="center"/>
          </w:tcPr>
          <w:p w14:paraId="2901E661">
            <w:pPr>
              <w:pStyle w:val="42"/>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900" w:type="dxa"/>
            <w:vAlign w:val="center"/>
          </w:tcPr>
          <w:p w14:paraId="4E9FF864">
            <w:pPr>
              <w:pStyle w:val="42"/>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w:t>
            </w:r>
          </w:p>
        </w:tc>
        <w:tc>
          <w:tcPr>
            <w:tcW w:w="6767" w:type="dxa"/>
            <w:vAlign w:val="center"/>
          </w:tcPr>
          <w:p w14:paraId="4CEFBC87">
            <w:pPr>
              <w:pStyle w:val="42"/>
              <w:jc w:val="both"/>
              <w:rPr>
                <w:rFonts w:hint="eastAsia" w:ascii="宋体" w:hAnsi="宋体" w:eastAsia="宋体" w:cs="宋体"/>
                <w:color w:val="auto"/>
                <w:sz w:val="21"/>
                <w:szCs w:val="21"/>
                <w:highlight w:val="none"/>
              </w:rPr>
            </w:pPr>
            <w:r>
              <w:rPr>
                <w:rFonts w:hint="eastAsia" w:ascii="宋体" w:hAnsi="宋体" w:eastAsia="宋体" w:cs="宋体"/>
                <w:bCs/>
                <w:color w:val="auto"/>
                <w:kern w:val="2"/>
                <w:sz w:val="21"/>
                <w:szCs w:val="21"/>
              </w:rPr>
              <w:t>供应商所投</w:t>
            </w:r>
            <w:r>
              <w:rPr>
                <w:rFonts w:hint="eastAsia" w:ascii="宋体" w:hAnsi="宋体" w:eastAsia="宋体" w:cs="宋体"/>
                <w:bCs/>
                <w:color w:val="auto"/>
                <w:kern w:val="2"/>
                <w:sz w:val="21"/>
                <w:szCs w:val="21"/>
                <w:lang w:val="en-US" w:eastAsia="zh-CN"/>
              </w:rPr>
              <w:t>平台</w:t>
            </w:r>
            <w:r>
              <w:rPr>
                <w:rFonts w:hint="eastAsia" w:ascii="宋体" w:hAnsi="宋体" w:eastAsia="宋体" w:cs="宋体"/>
                <w:color w:val="auto"/>
                <w:kern w:val="2"/>
                <w:sz w:val="21"/>
                <w:szCs w:val="21"/>
              </w:rPr>
              <w:t>教师端后台可以监控活动数据，可以查看每天参与活动的人数</w:t>
            </w:r>
            <w:r>
              <w:rPr>
                <w:rFonts w:hint="eastAsia" w:ascii="宋体" w:hAnsi="宋体" w:eastAsia="宋体" w:cs="宋体"/>
                <w:b w:val="0"/>
                <w:bCs/>
                <w:color w:val="auto"/>
                <w:kern w:val="2"/>
                <w:sz w:val="21"/>
                <w:szCs w:val="21"/>
              </w:rPr>
              <w:t>，</w:t>
            </w:r>
            <w:r>
              <w:rPr>
                <w:rFonts w:hint="eastAsia" w:ascii="宋体" w:hAnsi="宋体" w:eastAsia="宋体" w:cs="宋体"/>
                <w:bCs/>
                <w:color w:val="auto"/>
                <w:kern w:val="2"/>
                <w:sz w:val="21"/>
                <w:szCs w:val="21"/>
              </w:rPr>
              <w:t>完全满足本项全部要求</w:t>
            </w:r>
            <w:r>
              <w:rPr>
                <w:rFonts w:hint="eastAsia" w:ascii="宋体" w:hAnsi="宋体" w:eastAsia="宋体" w:cs="宋体"/>
                <w:bCs/>
                <w:color w:val="auto"/>
                <w:kern w:val="2"/>
                <w:sz w:val="21"/>
                <w:szCs w:val="21"/>
                <w:lang w:val="en-US" w:eastAsia="zh-CN"/>
              </w:rPr>
              <w:t>的</w:t>
            </w:r>
            <w:r>
              <w:rPr>
                <w:rFonts w:hint="eastAsia" w:ascii="宋体" w:hAnsi="宋体" w:eastAsia="宋体" w:cs="宋体"/>
                <w:bCs/>
                <w:color w:val="auto"/>
                <w:kern w:val="2"/>
                <w:sz w:val="21"/>
                <w:szCs w:val="21"/>
              </w:rPr>
              <w:t>得</w:t>
            </w:r>
            <w:r>
              <w:rPr>
                <w:rFonts w:hint="eastAsia" w:ascii="宋体" w:hAnsi="宋体" w:eastAsia="宋体" w:cs="宋体"/>
                <w:bCs/>
                <w:color w:val="auto"/>
                <w:kern w:val="2"/>
                <w:sz w:val="21"/>
                <w:szCs w:val="21"/>
                <w:lang w:val="en-US" w:eastAsia="zh-CN"/>
              </w:rPr>
              <w:t>2</w:t>
            </w:r>
            <w:r>
              <w:rPr>
                <w:rFonts w:hint="eastAsia" w:ascii="宋体" w:hAnsi="宋体" w:eastAsia="宋体" w:cs="宋体"/>
                <w:bCs/>
                <w:color w:val="auto"/>
                <w:kern w:val="2"/>
                <w:sz w:val="21"/>
                <w:szCs w:val="21"/>
              </w:rPr>
              <w:t>分</w:t>
            </w:r>
            <w:r>
              <w:rPr>
                <w:rFonts w:hint="eastAsia" w:ascii="宋体" w:hAnsi="宋体" w:eastAsia="宋体" w:cs="宋体"/>
                <w:bCs/>
                <w:color w:val="auto"/>
                <w:kern w:val="2"/>
                <w:sz w:val="21"/>
                <w:szCs w:val="21"/>
                <w:lang w:eastAsia="zh-CN"/>
              </w:rPr>
              <w:t>。</w:t>
            </w:r>
            <w:r>
              <w:rPr>
                <w:rFonts w:hint="eastAsia" w:ascii="宋体" w:hAnsi="宋体" w:eastAsia="宋体" w:cs="宋体"/>
                <w:b/>
                <w:bCs w:val="0"/>
                <w:color w:val="auto"/>
                <w:kern w:val="2"/>
                <w:sz w:val="21"/>
                <w:szCs w:val="21"/>
              </w:rPr>
              <w:t>须提供截图证明材料，每缺少一项或不满足要求</w:t>
            </w:r>
            <w:r>
              <w:rPr>
                <w:rFonts w:hint="eastAsia" w:ascii="宋体" w:hAnsi="宋体" w:eastAsia="宋体" w:cs="宋体"/>
                <w:b/>
                <w:bCs w:val="0"/>
                <w:color w:val="auto"/>
                <w:kern w:val="2"/>
                <w:sz w:val="21"/>
                <w:szCs w:val="21"/>
                <w:lang w:val="en-US" w:eastAsia="zh-CN"/>
              </w:rPr>
              <w:t>不得分</w:t>
            </w:r>
            <w:r>
              <w:rPr>
                <w:rFonts w:hint="eastAsia" w:ascii="宋体" w:hAnsi="宋体" w:eastAsia="宋体" w:cs="宋体"/>
                <w:b/>
                <w:bCs w:val="0"/>
                <w:color w:val="auto"/>
                <w:kern w:val="2"/>
                <w:sz w:val="21"/>
                <w:szCs w:val="21"/>
              </w:rPr>
              <w:t>。</w:t>
            </w:r>
          </w:p>
        </w:tc>
      </w:tr>
      <w:tr w14:paraId="4FEB2A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058477EE">
            <w:pPr>
              <w:pStyle w:val="42"/>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bCs/>
                <w:color w:val="auto"/>
                <w:kern w:val="2"/>
                <w:sz w:val="21"/>
                <w:szCs w:val="21"/>
              </w:rPr>
              <w:t>技术保障</w:t>
            </w:r>
            <w:r>
              <w:rPr>
                <w:rFonts w:hint="eastAsia" w:ascii="宋体" w:hAnsi="宋体" w:eastAsia="宋体" w:cs="宋体"/>
                <w:b w:val="0"/>
                <w:bCs/>
                <w:color w:val="auto"/>
                <w:kern w:val="2"/>
                <w:sz w:val="21"/>
                <w:szCs w:val="21"/>
                <w:lang w:val="en-US" w:eastAsia="zh-CN"/>
              </w:rPr>
              <w:t>方案</w:t>
            </w:r>
          </w:p>
        </w:tc>
        <w:tc>
          <w:tcPr>
            <w:tcW w:w="787" w:type="dxa"/>
            <w:vAlign w:val="center"/>
          </w:tcPr>
          <w:p w14:paraId="5194E20D">
            <w:pPr>
              <w:pStyle w:val="42"/>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900" w:type="dxa"/>
            <w:vAlign w:val="center"/>
          </w:tcPr>
          <w:p w14:paraId="53430146">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w:t>
            </w:r>
          </w:p>
        </w:tc>
        <w:tc>
          <w:tcPr>
            <w:tcW w:w="6767" w:type="dxa"/>
            <w:vAlign w:val="center"/>
          </w:tcPr>
          <w:p w14:paraId="12B77A46">
            <w:pPr>
              <w:pStyle w:val="42"/>
              <w:jc w:val="both"/>
              <w:rPr>
                <w:rFonts w:hint="eastAsia" w:ascii="宋体" w:hAnsi="宋体" w:eastAsia="宋体" w:cs="宋体"/>
                <w:bCs/>
                <w:color w:val="auto"/>
                <w:kern w:val="2"/>
                <w:sz w:val="21"/>
                <w:szCs w:val="21"/>
              </w:rPr>
            </w:pPr>
            <w:r>
              <w:rPr>
                <w:rFonts w:hint="eastAsia" w:ascii="宋体" w:hAnsi="宋体" w:eastAsia="宋体" w:cs="宋体"/>
                <w:b w:val="0"/>
                <w:bCs/>
                <w:color w:val="auto"/>
                <w:kern w:val="2"/>
                <w:sz w:val="21"/>
                <w:szCs w:val="21"/>
                <w:lang w:val="en-US" w:eastAsia="zh-CN"/>
              </w:rPr>
              <w:t>供应商提供</w:t>
            </w:r>
            <w:r>
              <w:rPr>
                <w:rFonts w:hint="eastAsia" w:ascii="宋体" w:hAnsi="宋体" w:eastAsia="宋体" w:cs="宋体"/>
                <w:b w:val="0"/>
                <w:bCs/>
                <w:color w:val="auto"/>
                <w:kern w:val="2"/>
                <w:sz w:val="21"/>
                <w:szCs w:val="21"/>
              </w:rPr>
              <w:t>活动期间系统运维、故障处置技术保障方案</w:t>
            </w:r>
            <w:r>
              <w:rPr>
                <w:rFonts w:hint="eastAsia" w:ascii="宋体" w:hAnsi="宋体" w:eastAsia="宋体" w:cs="宋体"/>
                <w:b w:val="0"/>
                <w:bCs/>
                <w:color w:val="auto"/>
                <w:kern w:val="2"/>
                <w:sz w:val="21"/>
                <w:szCs w:val="21"/>
                <w:lang w:val="en-US" w:eastAsia="zh-CN"/>
              </w:rPr>
              <w:t>的得3分</w:t>
            </w:r>
            <w:r>
              <w:rPr>
                <w:rFonts w:hint="eastAsia" w:ascii="宋体" w:hAnsi="宋体" w:eastAsia="宋体" w:cs="宋体"/>
                <w:b w:val="0"/>
                <w:bCs/>
                <w:color w:val="auto"/>
                <w:kern w:val="2"/>
                <w:sz w:val="21"/>
                <w:szCs w:val="21"/>
              </w:rPr>
              <w:t>。</w:t>
            </w:r>
          </w:p>
        </w:tc>
      </w:tr>
      <w:tr w14:paraId="481184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25C0B71C">
            <w:pPr>
              <w:pStyle w:val="42"/>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功能模块</w:t>
            </w:r>
          </w:p>
        </w:tc>
        <w:tc>
          <w:tcPr>
            <w:tcW w:w="787" w:type="dxa"/>
            <w:vAlign w:val="center"/>
          </w:tcPr>
          <w:p w14:paraId="4967A353">
            <w:pPr>
              <w:pStyle w:val="42"/>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900" w:type="dxa"/>
            <w:vAlign w:val="center"/>
          </w:tcPr>
          <w:p w14:paraId="011A9BA7">
            <w:pPr>
              <w:pStyle w:val="42"/>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w:t>
            </w:r>
          </w:p>
        </w:tc>
        <w:tc>
          <w:tcPr>
            <w:tcW w:w="6767" w:type="dxa"/>
            <w:vAlign w:val="center"/>
          </w:tcPr>
          <w:p w14:paraId="733F9BD6">
            <w:pPr>
              <w:pStyle w:val="42"/>
              <w:jc w:val="both"/>
              <w:rPr>
                <w:rFonts w:hint="eastAsia" w:ascii="宋体" w:hAnsi="宋体" w:eastAsia="宋体" w:cs="宋体"/>
                <w:color w:val="auto"/>
                <w:sz w:val="21"/>
                <w:szCs w:val="21"/>
                <w:highlight w:val="none"/>
              </w:rPr>
            </w:pPr>
            <w:r>
              <w:rPr>
                <w:rFonts w:hint="eastAsia" w:ascii="宋体" w:hAnsi="宋体" w:eastAsia="宋体" w:cs="宋体"/>
                <w:bCs/>
                <w:color w:val="auto"/>
                <w:kern w:val="2"/>
                <w:sz w:val="21"/>
                <w:szCs w:val="21"/>
              </w:rPr>
              <w:t>供应商所投</w:t>
            </w:r>
            <w:r>
              <w:rPr>
                <w:rFonts w:hint="eastAsia" w:ascii="宋体" w:hAnsi="宋体" w:eastAsia="宋体" w:cs="宋体"/>
                <w:bCs/>
                <w:color w:val="auto"/>
                <w:kern w:val="2"/>
                <w:sz w:val="21"/>
                <w:szCs w:val="21"/>
                <w:lang w:val="en-US" w:eastAsia="zh-CN"/>
              </w:rPr>
              <w:t>平台具备</w:t>
            </w:r>
            <w:r>
              <w:rPr>
                <w:rFonts w:hint="eastAsia" w:ascii="宋体" w:hAnsi="宋体" w:eastAsia="宋体" w:cs="宋体"/>
                <w:color w:val="auto"/>
                <w:kern w:val="2"/>
                <w:sz w:val="21"/>
                <w:szCs w:val="21"/>
              </w:rPr>
              <w:t>专家咨询、在线支持、多宝库等功能模块，可以通过线上游戏闯关、线上互动交流</w:t>
            </w:r>
            <w:r>
              <w:rPr>
                <w:rFonts w:hint="eastAsia" w:ascii="宋体" w:hAnsi="宋体" w:eastAsia="宋体" w:cs="宋体"/>
                <w:color w:val="auto"/>
                <w:kern w:val="2"/>
                <w:sz w:val="21"/>
                <w:szCs w:val="21"/>
                <w:lang w:eastAsia="zh-CN"/>
              </w:rPr>
              <w:t>、</w:t>
            </w:r>
            <w:r>
              <w:rPr>
                <w:rFonts w:hint="eastAsia" w:ascii="宋体" w:hAnsi="宋体" w:eastAsia="宋体" w:cs="宋体"/>
                <w:color w:val="auto"/>
                <w:kern w:val="2"/>
                <w:sz w:val="21"/>
                <w:szCs w:val="21"/>
              </w:rPr>
              <w:t>线上专家咨询等多种线上活动形式配合线下体验周项目，进行自我探索与外部探索、了解自己的生涯发展状态、习得生涯知识、并学习生涯规划的方法</w:t>
            </w:r>
            <w:r>
              <w:rPr>
                <w:rFonts w:hint="eastAsia" w:ascii="宋体" w:hAnsi="宋体" w:eastAsia="宋体" w:cs="宋体"/>
                <w:color w:val="auto"/>
                <w:kern w:val="2"/>
                <w:sz w:val="21"/>
                <w:szCs w:val="21"/>
                <w:lang w:val="en-US" w:eastAsia="zh-CN"/>
              </w:rPr>
              <w:t>的得3分</w:t>
            </w:r>
            <w:r>
              <w:rPr>
                <w:rFonts w:hint="eastAsia" w:ascii="宋体" w:hAnsi="宋体" w:eastAsia="宋体" w:cs="宋体"/>
                <w:color w:val="auto"/>
                <w:kern w:val="2"/>
                <w:sz w:val="21"/>
                <w:szCs w:val="21"/>
                <w:lang w:eastAsia="zh-CN"/>
              </w:rPr>
              <w:t>。</w:t>
            </w:r>
            <w:r>
              <w:rPr>
                <w:rFonts w:hint="eastAsia" w:ascii="宋体" w:hAnsi="宋体" w:eastAsia="宋体" w:cs="宋体"/>
                <w:b/>
                <w:bCs w:val="0"/>
                <w:color w:val="auto"/>
                <w:kern w:val="2"/>
                <w:sz w:val="21"/>
                <w:szCs w:val="21"/>
              </w:rPr>
              <w:t>须提供截图证明材料，每缺少一项或不满足要求</w:t>
            </w:r>
            <w:r>
              <w:rPr>
                <w:rFonts w:hint="eastAsia" w:ascii="宋体" w:hAnsi="宋体" w:eastAsia="宋体" w:cs="宋体"/>
                <w:b/>
                <w:bCs w:val="0"/>
                <w:color w:val="auto"/>
                <w:kern w:val="2"/>
                <w:sz w:val="21"/>
                <w:szCs w:val="21"/>
                <w:lang w:val="en-US" w:eastAsia="zh-CN"/>
              </w:rPr>
              <w:t>不得分</w:t>
            </w:r>
            <w:r>
              <w:rPr>
                <w:rFonts w:hint="eastAsia" w:ascii="宋体" w:hAnsi="宋体" w:eastAsia="宋体" w:cs="宋体"/>
                <w:b/>
                <w:bCs w:val="0"/>
                <w:color w:val="auto"/>
                <w:kern w:val="2"/>
                <w:sz w:val="21"/>
                <w:szCs w:val="21"/>
              </w:rPr>
              <w:t>。</w:t>
            </w:r>
          </w:p>
        </w:tc>
      </w:tr>
      <w:tr w14:paraId="140E92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7C356F09">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rPr>
              <w:t>活动质量保证措施</w:t>
            </w:r>
          </w:p>
        </w:tc>
        <w:tc>
          <w:tcPr>
            <w:tcW w:w="787" w:type="dxa"/>
            <w:vAlign w:val="center"/>
          </w:tcPr>
          <w:p w14:paraId="02CCD0B6">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p>
        </w:tc>
        <w:tc>
          <w:tcPr>
            <w:tcW w:w="900" w:type="dxa"/>
            <w:vAlign w:val="center"/>
          </w:tcPr>
          <w:p w14:paraId="6613F6B6">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是</w:t>
            </w:r>
          </w:p>
        </w:tc>
        <w:tc>
          <w:tcPr>
            <w:tcW w:w="6767" w:type="dxa"/>
            <w:vAlign w:val="center"/>
          </w:tcPr>
          <w:p w14:paraId="1E6F605C">
            <w:pPr>
              <w:pStyle w:val="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rPr>
              <w:t>供应商针对本次生涯、就业体验周项目制定适配的活动质量保证措施，内容贴合项目场景、具备可实施性</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rPr>
              <w:t>得3分；存在实质性缺陷（包括</w:t>
            </w:r>
            <w:r>
              <w:rPr>
                <w:rFonts w:hint="eastAsia" w:ascii="宋体" w:hAnsi="宋体" w:eastAsia="宋体" w:cs="宋体"/>
                <w:color w:val="auto"/>
                <w:sz w:val="21"/>
                <w:szCs w:val="21"/>
                <w:lang w:val="en-US" w:eastAsia="zh-CN"/>
              </w:rPr>
              <w:t>但不限于</w:t>
            </w:r>
            <w:r>
              <w:rPr>
                <w:rFonts w:hint="eastAsia" w:ascii="宋体" w:hAnsi="宋体" w:eastAsia="宋体" w:cs="宋体"/>
                <w:color w:val="auto"/>
                <w:sz w:val="21"/>
                <w:szCs w:val="21"/>
              </w:rPr>
              <w:t>：不适用项目实际、内容凭空编造、前后矛盾、逻辑错误、可实施性差、引用规范标准错误、地点区域错误、标题与正文不符、关键内容缺失）的得1.5分；方案内容与本项目无关或未提供本项内容的均不得分。</w:t>
            </w:r>
          </w:p>
        </w:tc>
      </w:tr>
      <w:tr w14:paraId="57C309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595899D5">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rPr>
              <w:t>项目进度计划</w:t>
            </w:r>
          </w:p>
        </w:tc>
        <w:tc>
          <w:tcPr>
            <w:tcW w:w="787" w:type="dxa"/>
            <w:vAlign w:val="center"/>
          </w:tcPr>
          <w:p w14:paraId="089B13EB">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p>
        </w:tc>
        <w:tc>
          <w:tcPr>
            <w:tcW w:w="900" w:type="dxa"/>
            <w:vAlign w:val="center"/>
          </w:tcPr>
          <w:p w14:paraId="05FB6FDB">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是</w:t>
            </w:r>
          </w:p>
        </w:tc>
        <w:tc>
          <w:tcPr>
            <w:tcW w:w="6767" w:type="dxa"/>
            <w:vAlign w:val="center"/>
          </w:tcPr>
          <w:p w14:paraId="235ED629">
            <w:pPr>
              <w:pStyle w:val="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rPr>
              <w:t>供应商针对本次生涯、就业体验周项目制定适配的项目进度计划，内容贴合项目场景、具备可实施性</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rPr>
              <w:t>得3分；存在实质性缺陷（包括</w:t>
            </w:r>
            <w:r>
              <w:rPr>
                <w:rFonts w:hint="eastAsia" w:ascii="宋体" w:hAnsi="宋体" w:eastAsia="宋体" w:cs="宋体"/>
                <w:color w:val="auto"/>
                <w:sz w:val="21"/>
                <w:szCs w:val="21"/>
                <w:lang w:val="en-US" w:eastAsia="zh-CN"/>
              </w:rPr>
              <w:t>但不限于</w:t>
            </w:r>
            <w:r>
              <w:rPr>
                <w:rFonts w:hint="eastAsia" w:ascii="宋体" w:hAnsi="宋体" w:eastAsia="宋体" w:cs="宋体"/>
                <w:color w:val="auto"/>
                <w:sz w:val="21"/>
                <w:szCs w:val="21"/>
              </w:rPr>
              <w:t>：不适用项目实际、内容凭空编造、前后矛盾、逻辑错误、可实施性差、引用规范标准错误、地点区域错误、标题与正文不符、关键内容缺失）的得1.5分；方案内容与本项目无关或未提供本项内容的均不得分。</w:t>
            </w:r>
          </w:p>
        </w:tc>
      </w:tr>
      <w:tr w14:paraId="516EC2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1361D844">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rPr>
              <w:t>活动安全保障措施</w:t>
            </w:r>
          </w:p>
        </w:tc>
        <w:tc>
          <w:tcPr>
            <w:tcW w:w="787" w:type="dxa"/>
            <w:vAlign w:val="center"/>
          </w:tcPr>
          <w:p w14:paraId="3DBEF3D8">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p>
        </w:tc>
        <w:tc>
          <w:tcPr>
            <w:tcW w:w="900" w:type="dxa"/>
            <w:vAlign w:val="center"/>
          </w:tcPr>
          <w:p w14:paraId="5BBB3C52">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是</w:t>
            </w:r>
          </w:p>
        </w:tc>
        <w:tc>
          <w:tcPr>
            <w:tcW w:w="6767" w:type="dxa"/>
            <w:vAlign w:val="center"/>
          </w:tcPr>
          <w:p w14:paraId="318157C3">
            <w:pPr>
              <w:pStyle w:val="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rPr>
              <w:t>供应商针对本次生涯、就业体验周项目制定适配的活动安全保障措施，内容贴合项目场景、具备可实施性</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rPr>
              <w:t>得3分；存在实质性缺陷（包括</w:t>
            </w:r>
            <w:r>
              <w:rPr>
                <w:rFonts w:hint="eastAsia" w:ascii="宋体" w:hAnsi="宋体" w:eastAsia="宋体" w:cs="宋体"/>
                <w:color w:val="auto"/>
                <w:sz w:val="21"/>
                <w:szCs w:val="21"/>
                <w:lang w:val="en-US" w:eastAsia="zh-CN"/>
              </w:rPr>
              <w:t>但不限于</w:t>
            </w:r>
            <w:r>
              <w:rPr>
                <w:rFonts w:hint="eastAsia" w:ascii="宋体" w:hAnsi="宋体" w:eastAsia="宋体" w:cs="宋体"/>
                <w:color w:val="auto"/>
                <w:sz w:val="21"/>
                <w:szCs w:val="21"/>
              </w:rPr>
              <w:t>：不适用项目实际、内容凭空编造、前后矛盾、逻辑错误、可实施性差、引用规范标准错误、地点区域错误、标题与正文不符、关键内容缺失）的得1.5分；方案内容与本项目无关或未提供本项内容的均不得分。</w:t>
            </w:r>
          </w:p>
        </w:tc>
      </w:tr>
      <w:tr w14:paraId="09C65D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2C928FF5">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rPr>
              <w:t>物料运输及登记措施</w:t>
            </w:r>
          </w:p>
        </w:tc>
        <w:tc>
          <w:tcPr>
            <w:tcW w:w="787" w:type="dxa"/>
            <w:vAlign w:val="center"/>
          </w:tcPr>
          <w:p w14:paraId="59BCC8E1">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p>
        </w:tc>
        <w:tc>
          <w:tcPr>
            <w:tcW w:w="900" w:type="dxa"/>
            <w:vAlign w:val="center"/>
          </w:tcPr>
          <w:p w14:paraId="7FAF97DC">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是</w:t>
            </w:r>
          </w:p>
        </w:tc>
        <w:tc>
          <w:tcPr>
            <w:tcW w:w="6767" w:type="dxa"/>
            <w:vAlign w:val="center"/>
          </w:tcPr>
          <w:p w14:paraId="134229D7">
            <w:pPr>
              <w:pStyle w:val="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rPr>
              <w:t>供应商针对本次生涯、就业体验周项目制定适配的物料运输及登记措施，内容贴合项目场景、具备可实施性</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rPr>
              <w:t>得3分；存在实质性缺陷（包括</w:t>
            </w:r>
            <w:r>
              <w:rPr>
                <w:rFonts w:hint="eastAsia" w:ascii="宋体" w:hAnsi="宋体" w:eastAsia="宋体" w:cs="宋体"/>
                <w:color w:val="auto"/>
                <w:sz w:val="21"/>
                <w:szCs w:val="21"/>
                <w:lang w:val="en-US" w:eastAsia="zh-CN"/>
              </w:rPr>
              <w:t>但不限于</w:t>
            </w:r>
            <w:r>
              <w:rPr>
                <w:rFonts w:hint="eastAsia" w:ascii="宋体" w:hAnsi="宋体" w:eastAsia="宋体" w:cs="宋体"/>
                <w:color w:val="auto"/>
                <w:sz w:val="21"/>
                <w:szCs w:val="21"/>
              </w:rPr>
              <w:t>：不适用项目实际、内容凭空编造、前后矛盾、逻辑错误、可实施性差、引用规范标准错误、地点区域错误、标题与正文不符、关键内容缺失）的得1.5分；方案内容与本项目无关或未提供本项内容的均不得分。</w:t>
            </w:r>
          </w:p>
        </w:tc>
      </w:tr>
      <w:tr w14:paraId="01D36C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1074DF98">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rPr>
              <w:t>项目人员分配</w:t>
            </w:r>
          </w:p>
        </w:tc>
        <w:tc>
          <w:tcPr>
            <w:tcW w:w="787" w:type="dxa"/>
            <w:vAlign w:val="center"/>
          </w:tcPr>
          <w:p w14:paraId="09DDEF6E">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p>
        </w:tc>
        <w:tc>
          <w:tcPr>
            <w:tcW w:w="900" w:type="dxa"/>
            <w:vAlign w:val="center"/>
          </w:tcPr>
          <w:p w14:paraId="7228C4CF">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是</w:t>
            </w:r>
          </w:p>
        </w:tc>
        <w:tc>
          <w:tcPr>
            <w:tcW w:w="6767" w:type="dxa"/>
            <w:vAlign w:val="center"/>
          </w:tcPr>
          <w:p w14:paraId="1EDFBA80">
            <w:pPr>
              <w:pStyle w:val="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rPr>
              <w:t>供应商针对本次生涯、就业体验周项目制定适配的项目人员分配，内容贴合项目场景、具备可实施性</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rPr>
              <w:t>得3分；存在实质性缺陷（包括</w:t>
            </w:r>
            <w:r>
              <w:rPr>
                <w:rFonts w:hint="eastAsia" w:ascii="宋体" w:hAnsi="宋体" w:eastAsia="宋体" w:cs="宋体"/>
                <w:color w:val="auto"/>
                <w:sz w:val="21"/>
                <w:szCs w:val="21"/>
                <w:lang w:val="en-US" w:eastAsia="zh-CN"/>
              </w:rPr>
              <w:t>但不限于</w:t>
            </w:r>
            <w:r>
              <w:rPr>
                <w:rFonts w:hint="eastAsia" w:ascii="宋体" w:hAnsi="宋体" w:eastAsia="宋体" w:cs="宋体"/>
                <w:color w:val="auto"/>
                <w:sz w:val="21"/>
                <w:szCs w:val="21"/>
              </w:rPr>
              <w:t>：不适用项目实际、内容凭空编造、前后矛盾、逻辑错误、可实施性差、引用规范标准错误、地点区域错误、标题与正文不符、关键内容缺失）的得1.5分；方案内容与本项目无关或未提供本项内容的均不得分。</w:t>
            </w:r>
          </w:p>
        </w:tc>
      </w:tr>
      <w:tr w14:paraId="3F29C1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638C4127">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rPr>
              <w:t>志愿者培训方案</w:t>
            </w:r>
          </w:p>
        </w:tc>
        <w:tc>
          <w:tcPr>
            <w:tcW w:w="787" w:type="dxa"/>
            <w:vAlign w:val="center"/>
          </w:tcPr>
          <w:p w14:paraId="7C8CFFE0">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p>
        </w:tc>
        <w:tc>
          <w:tcPr>
            <w:tcW w:w="900" w:type="dxa"/>
            <w:vAlign w:val="center"/>
          </w:tcPr>
          <w:p w14:paraId="7A899F65">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是</w:t>
            </w:r>
          </w:p>
        </w:tc>
        <w:tc>
          <w:tcPr>
            <w:tcW w:w="6767" w:type="dxa"/>
            <w:vAlign w:val="center"/>
          </w:tcPr>
          <w:p w14:paraId="7B7322F4">
            <w:pPr>
              <w:pStyle w:val="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rPr>
              <w:t>供应商针对本次生涯、就业体验周项目制定适配的志愿者培训方案，内容贴合项目场景、具备可实施性</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rPr>
              <w:t>得3分；存在实质性缺陷（包括</w:t>
            </w:r>
            <w:r>
              <w:rPr>
                <w:rFonts w:hint="eastAsia" w:ascii="宋体" w:hAnsi="宋体" w:eastAsia="宋体" w:cs="宋体"/>
                <w:color w:val="auto"/>
                <w:sz w:val="21"/>
                <w:szCs w:val="21"/>
                <w:lang w:val="en-US" w:eastAsia="zh-CN"/>
              </w:rPr>
              <w:t>但不限于</w:t>
            </w:r>
            <w:r>
              <w:rPr>
                <w:rFonts w:hint="eastAsia" w:ascii="宋体" w:hAnsi="宋体" w:eastAsia="宋体" w:cs="宋体"/>
                <w:color w:val="auto"/>
                <w:sz w:val="21"/>
                <w:szCs w:val="21"/>
              </w:rPr>
              <w:t>：不适用项目实际、内容凭空编造、前后矛盾、逻辑错误、可实施性差、引用规范标准错误、地点区域错误、标题与正文不符、关键内容缺失）的得1.5分；方案内容与本项目无关或未提供本项内容的均不得分。</w:t>
            </w:r>
          </w:p>
        </w:tc>
      </w:tr>
      <w:tr w14:paraId="0D7DF6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10374E8C">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rPr>
              <w:t>技术支持人员分配方案</w:t>
            </w:r>
          </w:p>
        </w:tc>
        <w:tc>
          <w:tcPr>
            <w:tcW w:w="787" w:type="dxa"/>
            <w:vAlign w:val="center"/>
          </w:tcPr>
          <w:p w14:paraId="70B0AEFA">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p>
        </w:tc>
        <w:tc>
          <w:tcPr>
            <w:tcW w:w="900" w:type="dxa"/>
            <w:vAlign w:val="center"/>
          </w:tcPr>
          <w:p w14:paraId="5A2BDF97">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是</w:t>
            </w:r>
          </w:p>
        </w:tc>
        <w:tc>
          <w:tcPr>
            <w:tcW w:w="6767" w:type="dxa"/>
            <w:vAlign w:val="center"/>
          </w:tcPr>
          <w:p w14:paraId="3F208D42">
            <w:pPr>
              <w:pStyle w:val="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rPr>
              <w:t>供应商针对本次生涯、就业体验周项目制定适配的技术支持人员分配方案，内容贴合项目场景、具备可实施性</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rPr>
              <w:t>得3分；存在实质性缺陷（包括</w:t>
            </w:r>
            <w:r>
              <w:rPr>
                <w:rFonts w:hint="eastAsia" w:ascii="宋体" w:hAnsi="宋体" w:eastAsia="宋体" w:cs="宋体"/>
                <w:color w:val="auto"/>
                <w:sz w:val="21"/>
                <w:szCs w:val="21"/>
                <w:lang w:val="en-US" w:eastAsia="zh-CN"/>
              </w:rPr>
              <w:t>但不限于</w:t>
            </w:r>
            <w:r>
              <w:rPr>
                <w:rFonts w:hint="eastAsia" w:ascii="宋体" w:hAnsi="宋体" w:eastAsia="宋体" w:cs="宋体"/>
                <w:color w:val="auto"/>
                <w:sz w:val="21"/>
                <w:szCs w:val="21"/>
              </w:rPr>
              <w:t>：不适用项目实际、内容凭空编造、前后矛盾、逻辑错误、可实施性差、引用规范标准错误、地点区域错误、标题与正文不符、关键内容缺失）的得1.5分；方案内容与本项目无关或未提供本项内容的均不得分。</w:t>
            </w:r>
          </w:p>
        </w:tc>
      </w:tr>
      <w:tr w14:paraId="1EB8AB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7C0F149A">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rPr>
              <w:t>技术支持范围及响应时间</w:t>
            </w:r>
          </w:p>
        </w:tc>
        <w:tc>
          <w:tcPr>
            <w:tcW w:w="787" w:type="dxa"/>
            <w:vAlign w:val="center"/>
          </w:tcPr>
          <w:p w14:paraId="438E1010">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p>
        </w:tc>
        <w:tc>
          <w:tcPr>
            <w:tcW w:w="900" w:type="dxa"/>
            <w:vAlign w:val="center"/>
          </w:tcPr>
          <w:p w14:paraId="4E278CA1">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是</w:t>
            </w:r>
          </w:p>
        </w:tc>
        <w:tc>
          <w:tcPr>
            <w:tcW w:w="6767" w:type="dxa"/>
            <w:vAlign w:val="center"/>
          </w:tcPr>
          <w:p w14:paraId="07B8D4F3">
            <w:pPr>
              <w:pStyle w:val="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rPr>
              <w:t>供应商针对本次生涯、就业体验周项目制定适配的技术支持范围及响应时间，内容贴合项目场景、具备可实施性</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rPr>
              <w:t>得3分；存在实质性缺陷（包括</w:t>
            </w:r>
            <w:r>
              <w:rPr>
                <w:rFonts w:hint="eastAsia" w:ascii="宋体" w:hAnsi="宋体" w:eastAsia="宋体" w:cs="宋体"/>
                <w:color w:val="auto"/>
                <w:sz w:val="21"/>
                <w:szCs w:val="21"/>
                <w:lang w:val="en-US" w:eastAsia="zh-CN"/>
              </w:rPr>
              <w:t>但不限于</w:t>
            </w:r>
            <w:r>
              <w:rPr>
                <w:rFonts w:hint="eastAsia" w:ascii="宋体" w:hAnsi="宋体" w:eastAsia="宋体" w:cs="宋体"/>
                <w:color w:val="auto"/>
                <w:sz w:val="21"/>
                <w:szCs w:val="21"/>
              </w:rPr>
              <w:t>：不适用项目实际、内容凭空编造、前后矛盾、逻辑错误、可实施性差、引用规范标准错误、地点区域错误、标题与正文不符、关键内容缺失）的得1.5分；方案内容与本项目无关或未提供本项内容的均不得分。</w:t>
            </w:r>
          </w:p>
        </w:tc>
      </w:tr>
      <w:tr w14:paraId="5C991A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19245D17">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rPr>
              <w:t>服务期内外的后续技术支持</w:t>
            </w:r>
          </w:p>
        </w:tc>
        <w:tc>
          <w:tcPr>
            <w:tcW w:w="787" w:type="dxa"/>
            <w:vAlign w:val="center"/>
          </w:tcPr>
          <w:p w14:paraId="194BF42A">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p>
        </w:tc>
        <w:tc>
          <w:tcPr>
            <w:tcW w:w="900" w:type="dxa"/>
            <w:vAlign w:val="center"/>
          </w:tcPr>
          <w:p w14:paraId="7C5CB4AE">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是</w:t>
            </w:r>
          </w:p>
        </w:tc>
        <w:tc>
          <w:tcPr>
            <w:tcW w:w="6767" w:type="dxa"/>
            <w:vAlign w:val="center"/>
          </w:tcPr>
          <w:p w14:paraId="5601157C">
            <w:pPr>
              <w:pStyle w:val="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rPr>
              <w:t>供应商针对本次生涯、就业体验周项目制定适配的服务期内外的后续技术支持，内容贴合项目场景、具备可实施性</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rPr>
              <w:t>得3分；存在实质性缺陷（包括</w:t>
            </w:r>
            <w:r>
              <w:rPr>
                <w:rFonts w:hint="eastAsia" w:ascii="宋体" w:hAnsi="宋体" w:eastAsia="宋体" w:cs="宋体"/>
                <w:color w:val="auto"/>
                <w:sz w:val="21"/>
                <w:szCs w:val="21"/>
                <w:lang w:val="en-US" w:eastAsia="zh-CN"/>
              </w:rPr>
              <w:t>但不限于</w:t>
            </w:r>
            <w:r>
              <w:rPr>
                <w:rFonts w:hint="eastAsia" w:ascii="宋体" w:hAnsi="宋体" w:eastAsia="宋体" w:cs="宋体"/>
                <w:color w:val="auto"/>
                <w:sz w:val="21"/>
                <w:szCs w:val="21"/>
              </w:rPr>
              <w:t>：不适用项目实际、内容凭空编造、前后矛盾、逻辑错误、可实施性差、引用规范标准错误、地点区域错误、标题与正文不符、关键内容缺失）的得1.5分；方案内容与本项目无关或未提供本项内容的均不得分。</w:t>
            </w:r>
          </w:p>
        </w:tc>
      </w:tr>
      <w:tr w14:paraId="2BB28D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650DED1D">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rPr>
              <w:t>面对突发情况应急预案</w:t>
            </w:r>
          </w:p>
        </w:tc>
        <w:tc>
          <w:tcPr>
            <w:tcW w:w="787" w:type="dxa"/>
            <w:vAlign w:val="center"/>
          </w:tcPr>
          <w:p w14:paraId="6E7CB66A">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p>
        </w:tc>
        <w:tc>
          <w:tcPr>
            <w:tcW w:w="900" w:type="dxa"/>
            <w:vAlign w:val="center"/>
          </w:tcPr>
          <w:p w14:paraId="52BCAA0F">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是</w:t>
            </w:r>
          </w:p>
        </w:tc>
        <w:tc>
          <w:tcPr>
            <w:tcW w:w="6767" w:type="dxa"/>
            <w:vAlign w:val="center"/>
          </w:tcPr>
          <w:p w14:paraId="1975F4A1">
            <w:pPr>
              <w:pStyle w:val="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rPr>
              <w:t>供应商针对本次生涯、就业体验周项目制定适配的面对突发情况应急预案，内容贴合项目场景、具备可实施性</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rPr>
              <w:t>得3分；存在实质性缺陷（包括</w:t>
            </w:r>
            <w:r>
              <w:rPr>
                <w:rFonts w:hint="eastAsia" w:ascii="宋体" w:hAnsi="宋体" w:eastAsia="宋体" w:cs="宋体"/>
                <w:color w:val="auto"/>
                <w:sz w:val="21"/>
                <w:szCs w:val="21"/>
                <w:lang w:val="en-US" w:eastAsia="zh-CN"/>
              </w:rPr>
              <w:t>但不限于</w:t>
            </w:r>
            <w:r>
              <w:rPr>
                <w:rFonts w:hint="eastAsia" w:ascii="宋体" w:hAnsi="宋体" w:eastAsia="宋体" w:cs="宋体"/>
                <w:color w:val="auto"/>
                <w:sz w:val="21"/>
                <w:szCs w:val="21"/>
              </w:rPr>
              <w:t>：不适用项目实际、内容凭空编造、前后矛盾、逻辑错误、可实施性差、引用规范标准错误、地点区域错误、标题与正文不符、关键内容缺失）的得1.5分；方案内容与本项目无关或未提供本项内容的均不得分。</w:t>
            </w:r>
          </w:p>
        </w:tc>
      </w:tr>
      <w:tr w14:paraId="5E2C01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496B3D8C">
            <w:pPr>
              <w:pStyle w:val="42"/>
              <w:jc w:val="center"/>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rPr>
              <w:t>生涯体验周活动专业设计</w:t>
            </w:r>
          </w:p>
        </w:tc>
        <w:tc>
          <w:tcPr>
            <w:tcW w:w="787" w:type="dxa"/>
            <w:vAlign w:val="center"/>
          </w:tcPr>
          <w:p w14:paraId="50FBF238">
            <w:pPr>
              <w:pStyle w:val="42"/>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900" w:type="dxa"/>
            <w:vAlign w:val="center"/>
          </w:tcPr>
          <w:p w14:paraId="59BC3CFB">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是</w:t>
            </w:r>
          </w:p>
        </w:tc>
        <w:tc>
          <w:tcPr>
            <w:tcW w:w="6767" w:type="dxa"/>
            <w:vAlign w:val="center"/>
          </w:tcPr>
          <w:p w14:paraId="7877EC4F">
            <w:pPr>
              <w:pStyle w:val="42"/>
              <w:jc w:val="both"/>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lang w:val="en-US" w:eastAsia="zh-CN"/>
              </w:rPr>
              <w:t>根据供应商提供的生涯体验周活动设计方案进行评审，方案</w:t>
            </w:r>
            <w:r>
              <w:rPr>
                <w:rFonts w:hint="eastAsia" w:ascii="宋体" w:hAnsi="宋体" w:eastAsia="宋体" w:cs="宋体"/>
                <w:b w:val="0"/>
                <w:bCs w:val="0"/>
                <w:color w:val="auto"/>
                <w:sz w:val="21"/>
                <w:szCs w:val="21"/>
              </w:rPr>
              <w:t>设计充分体现人职匹配、霍兰德、KSAO、CIP、CDDQ、生涯平衡轮、社会资本等理论模型，各游戏化活动目标、道具、闯关流程、引导话术完整，能够实现低年级学生自我探索、职业认知、生涯决策训练目标</w:t>
            </w:r>
            <w:r>
              <w:rPr>
                <w:rFonts w:hint="eastAsia" w:ascii="宋体" w:hAnsi="宋体" w:eastAsia="宋体" w:cs="宋体"/>
                <w:b w:val="0"/>
                <w:bCs w:val="0"/>
                <w:color w:val="auto"/>
                <w:sz w:val="21"/>
                <w:szCs w:val="21"/>
                <w:lang w:val="en-US" w:eastAsia="zh-CN"/>
              </w:rPr>
              <w:t>的得5分，未提供或方案内容不全的不得分。</w:t>
            </w:r>
          </w:p>
        </w:tc>
      </w:tr>
      <w:tr w14:paraId="79953D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0A13CB99">
            <w:pPr>
              <w:pStyle w:val="42"/>
              <w:jc w:val="center"/>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lang w:val="en-US" w:eastAsia="zh-CN"/>
              </w:rPr>
              <w:t>就</w:t>
            </w:r>
            <w:r>
              <w:rPr>
                <w:rFonts w:hint="eastAsia" w:ascii="宋体" w:hAnsi="宋体" w:eastAsia="宋体" w:cs="宋体"/>
                <w:b w:val="0"/>
                <w:bCs w:val="0"/>
                <w:color w:val="auto"/>
                <w:sz w:val="21"/>
                <w:szCs w:val="21"/>
              </w:rPr>
              <w:t>业体验周活动专业设计</w:t>
            </w:r>
          </w:p>
        </w:tc>
        <w:tc>
          <w:tcPr>
            <w:tcW w:w="787" w:type="dxa"/>
            <w:vAlign w:val="center"/>
          </w:tcPr>
          <w:p w14:paraId="20F190B2">
            <w:pPr>
              <w:pStyle w:val="42"/>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900" w:type="dxa"/>
            <w:vAlign w:val="center"/>
          </w:tcPr>
          <w:p w14:paraId="0A3B1DA9">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是</w:t>
            </w:r>
          </w:p>
        </w:tc>
        <w:tc>
          <w:tcPr>
            <w:tcW w:w="6767" w:type="dxa"/>
            <w:vAlign w:val="center"/>
          </w:tcPr>
          <w:p w14:paraId="7350770B">
            <w:pPr>
              <w:pStyle w:val="42"/>
              <w:jc w:val="both"/>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lang w:val="en-US" w:eastAsia="zh-CN"/>
              </w:rPr>
              <w:t>根据供应商提供的就</w:t>
            </w:r>
            <w:r>
              <w:rPr>
                <w:rFonts w:hint="eastAsia" w:ascii="宋体" w:hAnsi="宋体" w:eastAsia="宋体" w:cs="宋体"/>
                <w:b w:val="0"/>
                <w:bCs w:val="0"/>
                <w:color w:val="auto"/>
                <w:sz w:val="21"/>
                <w:szCs w:val="21"/>
              </w:rPr>
              <w:t>业体验周活动设计</w:t>
            </w:r>
            <w:r>
              <w:rPr>
                <w:rFonts w:hint="eastAsia" w:ascii="宋体" w:hAnsi="宋体" w:eastAsia="宋体" w:cs="宋体"/>
                <w:b w:val="0"/>
                <w:bCs w:val="0"/>
                <w:color w:val="auto"/>
                <w:sz w:val="21"/>
                <w:szCs w:val="21"/>
                <w:lang w:val="en-US" w:eastAsia="zh-CN"/>
              </w:rPr>
              <w:t>方案进行评审，方案</w:t>
            </w:r>
            <w:r>
              <w:rPr>
                <w:rFonts w:hint="eastAsia" w:ascii="宋体" w:hAnsi="宋体" w:eastAsia="宋体" w:cs="宋体"/>
                <w:b w:val="0"/>
                <w:bCs w:val="0"/>
                <w:color w:val="auto"/>
                <w:sz w:val="21"/>
                <w:szCs w:val="21"/>
              </w:rPr>
              <w:t>设计</w:t>
            </w:r>
            <w:r>
              <w:rPr>
                <w:rFonts w:hint="eastAsia" w:ascii="宋体" w:hAnsi="宋体" w:eastAsia="宋体" w:cs="宋体"/>
                <w:b w:val="0"/>
                <w:bCs w:val="0"/>
                <w:color w:val="auto"/>
                <w:sz w:val="21"/>
                <w:szCs w:val="21"/>
                <w:lang w:val="en-US" w:eastAsia="zh-CN"/>
              </w:rPr>
              <w:t>围绕职业目标、岗位胜任力、发展潜力、总结区四大板块，落实 KST 模型、STAR 法则、人力资本、胜任力模型、AI 职业影响、简历诊断、就业信心测评等内容，贴合大三求职学生需求得5分，未提供或方案内容不全的不得分。</w:t>
            </w:r>
          </w:p>
        </w:tc>
      </w:tr>
      <w:tr w14:paraId="7A51DD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4" w:hRule="atLeast"/>
        </w:trPr>
        <w:tc>
          <w:tcPr>
            <w:tcW w:w="1341" w:type="dxa"/>
            <w:vAlign w:val="center"/>
          </w:tcPr>
          <w:p w14:paraId="6BCC4DBC">
            <w:pPr>
              <w:pStyle w:val="42"/>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项目团队人员</w:t>
            </w:r>
          </w:p>
        </w:tc>
        <w:tc>
          <w:tcPr>
            <w:tcW w:w="787" w:type="dxa"/>
            <w:vAlign w:val="center"/>
          </w:tcPr>
          <w:p w14:paraId="1478ECD6">
            <w:pPr>
              <w:pStyle w:val="42"/>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900" w:type="dxa"/>
            <w:vAlign w:val="center"/>
          </w:tcPr>
          <w:p w14:paraId="5DE774FD">
            <w:pPr>
              <w:pStyle w:val="42"/>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w:t>
            </w:r>
          </w:p>
        </w:tc>
        <w:tc>
          <w:tcPr>
            <w:tcW w:w="6767" w:type="dxa"/>
            <w:vAlign w:val="center"/>
          </w:tcPr>
          <w:p w14:paraId="35DC00CC">
            <w:pPr>
              <w:jc w:val="both"/>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lang w:val="en-US" w:eastAsia="zh-CN" w:bidi="ar"/>
              </w:rPr>
              <w:t>供应商为本项目配置完整的</w:t>
            </w:r>
            <w:r>
              <w:rPr>
                <w:rFonts w:hint="eastAsia" w:ascii="宋体" w:hAnsi="宋体" w:eastAsia="宋体" w:cs="宋体"/>
                <w:color w:val="auto"/>
                <w:sz w:val="21"/>
                <w:szCs w:val="21"/>
              </w:rPr>
              <w:t>项目团队人员</w:t>
            </w:r>
            <w:r>
              <w:rPr>
                <w:rFonts w:hint="eastAsia" w:ascii="宋体" w:hAnsi="宋体" w:eastAsia="宋体" w:cs="宋体"/>
                <w:color w:val="auto"/>
                <w:kern w:val="0"/>
                <w:sz w:val="21"/>
                <w:szCs w:val="21"/>
                <w:lang w:val="en-US" w:eastAsia="zh-CN" w:bidi="ar"/>
              </w:rPr>
              <w:t>，团队组成包含项目负责人、现场执行人员、专业讲师、技术运维人员，团队人员结构完整、岗位配置齐全，且团队人员均具备同类项目实施经验的得8分。须提供项目团队配置方案、人员岗位说明、人员业绩经验证明材料复印件。未按要求配齐对应岗位人员，或人员无同类项目实施经验，无法满足本项目实施需求的，本项不得分。</w:t>
            </w:r>
          </w:p>
        </w:tc>
      </w:tr>
      <w:tr w14:paraId="6F1C56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10996F13">
            <w:pPr>
              <w:pStyle w:val="42"/>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可视化功能</w:t>
            </w:r>
          </w:p>
        </w:tc>
        <w:tc>
          <w:tcPr>
            <w:tcW w:w="787" w:type="dxa"/>
            <w:vAlign w:val="center"/>
          </w:tcPr>
          <w:p w14:paraId="08E4F568">
            <w:pPr>
              <w:pStyle w:val="42"/>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900" w:type="dxa"/>
            <w:vAlign w:val="center"/>
          </w:tcPr>
          <w:p w14:paraId="3805CCB4">
            <w:pPr>
              <w:pStyle w:val="42"/>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w:t>
            </w:r>
          </w:p>
        </w:tc>
        <w:tc>
          <w:tcPr>
            <w:tcW w:w="6767" w:type="dxa"/>
            <w:vAlign w:val="center"/>
          </w:tcPr>
          <w:p w14:paraId="0FB61130">
            <w:pPr>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供应商所投平台具备活动现场数据实时统计与多维度可视化展示能力</w:t>
            </w:r>
          </w:p>
          <w:p w14:paraId="260AF6AB">
            <w:pPr>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rPr>
              <w:t>，</w:t>
            </w:r>
            <w:r>
              <w:rPr>
                <w:rFonts w:hint="eastAsia" w:ascii="宋体" w:hAnsi="宋体" w:eastAsia="宋体" w:cs="宋体"/>
                <w:color w:val="auto"/>
                <w:kern w:val="0"/>
                <w:sz w:val="21"/>
                <w:szCs w:val="21"/>
                <w:lang w:val="en-US" w:eastAsia="zh-CN" w:bidi="ar"/>
              </w:rPr>
              <w:t>可对学生活动参与情况进行实时展示，</w:t>
            </w:r>
            <w:r>
              <w:rPr>
                <w:rFonts w:hint="eastAsia" w:ascii="宋体" w:hAnsi="宋体" w:eastAsia="宋体" w:cs="宋体"/>
                <w:color w:val="auto"/>
                <w:sz w:val="21"/>
                <w:szCs w:val="21"/>
              </w:rPr>
              <w:t>内容</w:t>
            </w:r>
            <w:r>
              <w:rPr>
                <w:rFonts w:hint="eastAsia" w:ascii="宋体" w:hAnsi="宋体" w:eastAsia="宋体" w:cs="宋体"/>
                <w:color w:val="auto"/>
                <w:kern w:val="0"/>
                <w:sz w:val="21"/>
                <w:szCs w:val="21"/>
                <w:lang w:val="en-US" w:eastAsia="zh-CN" w:bidi="ar"/>
              </w:rPr>
              <w:t>包括各闯关参与人数、参与学生学院分布、</w:t>
            </w:r>
            <w:r>
              <w:rPr>
                <w:rFonts w:hint="eastAsia" w:ascii="宋体" w:hAnsi="宋体" w:eastAsia="宋体" w:cs="宋体"/>
                <w:color w:val="auto"/>
                <w:sz w:val="21"/>
                <w:szCs w:val="21"/>
              </w:rPr>
              <w:t>参与学生</w:t>
            </w:r>
            <w:r>
              <w:rPr>
                <w:rFonts w:hint="eastAsia" w:ascii="宋体" w:hAnsi="宋体" w:eastAsia="宋体" w:cs="宋体"/>
                <w:color w:val="auto"/>
                <w:kern w:val="0"/>
                <w:sz w:val="21"/>
                <w:szCs w:val="21"/>
                <w:lang w:val="en-US" w:eastAsia="zh-CN" w:bidi="ar"/>
              </w:rPr>
              <w:t>年级分布、</w:t>
            </w:r>
            <w:r>
              <w:rPr>
                <w:rFonts w:hint="eastAsia" w:ascii="宋体" w:hAnsi="宋体" w:eastAsia="宋体" w:cs="宋体"/>
                <w:color w:val="auto"/>
                <w:sz w:val="21"/>
                <w:szCs w:val="21"/>
              </w:rPr>
              <w:t>参与学生</w:t>
            </w:r>
            <w:r>
              <w:rPr>
                <w:rFonts w:hint="eastAsia" w:ascii="宋体" w:hAnsi="宋体" w:eastAsia="宋体" w:cs="宋体"/>
                <w:color w:val="auto"/>
                <w:kern w:val="0"/>
                <w:sz w:val="21"/>
                <w:szCs w:val="21"/>
                <w:lang w:val="en-US" w:eastAsia="zh-CN" w:bidi="ar"/>
              </w:rPr>
              <w:t>性别占比、毕业去向排行、团队角色排行、热门行业统计等的得8分。内容有缺失或</w:t>
            </w:r>
            <w:r>
              <w:rPr>
                <w:rFonts w:hint="eastAsia" w:ascii="宋体" w:hAnsi="宋体" w:eastAsia="宋体" w:cs="宋体"/>
                <w:color w:val="auto"/>
                <w:sz w:val="21"/>
                <w:szCs w:val="21"/>
              </w:rPr>
              <w:t>不满足</w:t>
            </w:r>
            <w:r>
              <w:rPr>
                <w:rFonts w:hint="eastAsia" w:ascii="宋体" w:hAnsi="宋体" w:eastAsia="宋体" w:cs="宋体"/>
                <w:color w:val="auto"/>
                <w:sz w:val="21"/>
                <w:szCs w:val="21"/>
                <w:lang w:val="en-US" w:eastAsia="zh-CN"/>
              </w:rPr>
              <w:t>的</w:t>
            </w:r>
            <w:r>
              <w:rPr>
                <w:rFonts w:hint="eastAsia" w:ascii="宋体" w:hAnsi="宋体" w:eastAsia="宋体" w:cs="宋体"/>
                <w:color w:val="auto"/>
                <w:kern w:val="0"/>
                <w:sz w:val="21"/>
                <w:szCs w:val="21"/>
                <w:lang w:val="en-US" w:eastAsia="zh-CN" w:bidi="ar"/>
              </w:rPr>
              <w:t>不得分。</w:t>
            </w:r>
            <w:r>
              <w:rPr>
                <w:rFonts w:hint="eastAsia" w:ascii="宋体" w:hAnsi="宋体" w:eastAsia="宋体" w:cs="宋体"/>
                <w:b/>
                <w:bCs w:val="0"/>
                <w:color w:val="auto"/>
                <w:kern w:val="2"/>
                <w:sz w:val="21"/>
                <w:szCs w:val="21"/>
              </w:rPr>
              <w:t>须提供截图证明材料，不满足要求</w:t>
            </w:r>
            <w:r>
              <w:rPr>
                <w:rFonts w:hint="eastAsia" w:ascii="宋体" w:hAnsi="宋体" w:eastAsia="宋体" w:cs="宋体"/>
                <w:b/>
                <w:bCs w:val="0"/>
                <w:color w:val="auto"/>
                <w:kern w:val="2"/>
                <w:sz w:val="21"/>
                <w:szCs w:val="21"/>
                <w:lang w:val="en-US" w:eastAsia="zh-CN"/>
              </w:rPr>
              <w:t>的不得分</w:t>
            </w:r>
            <w:r>
              <w:rPr>
                <w:rFonts w:hint="eastAsia" w:ascii="宋体" w:hAnsi="宋体" w:eastAsia="宋体" w:cs="宋体"/>
                <w:b/>
                <w:bCs w:val="0"/>
                <w:color w:val="auto"/>
                <w:kern w:val="2"/>
                <w:sz w:val="21"/>
                <w:szCs w:val="21"/>
              </w:rPr>
              <w:t>。</w:t>
            </w:r>
          </w:p>
        </w:tc>
      </w:tr>
      <w:tr w14:paraId="207463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44319834">
            <w:pPr>
              <w:pStyle w:val="42"/>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传输功能</w:t>
            </w:r>
          </w:p>
        </w:tc>
        <w:tc>
          <w:tcPr>
            <w:tcW w:w="787" w:type="dxa"/>
            <w:vAlign w:val="center"/>
          </w:tcPr>
          <w:p w14:paraId="24B5DA19">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p>
        </w:tc>
        <w:tc>
          <w:tcPr>
            <w:tcW w:w="900" w:type="dxa"/>
            <w:vAlign w:val="center"/>
          </w:tcPr>
          <w:p w14:paraId="71F7D084">
            <w:pPr>
              <w:pStyle w:val="42"/>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是</w:t>
            </w:r>
          </w:p>
        </w:tc>
        <w:tc>
          <w:tcPr>
            <w:tcW w:w="6767" w:type="dxa"/>
            <w:vAlign w:val="center"/>
          </w:tcPr>
          <w:p w14:paraId="7AD9CAB4">
            <w:pPr>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供应商所投平台</w:t>
            </w:r>
            <w:r>
              <w:rPr>
                <w:rFonts w:hint="eastAsia" w:ascii="宋体" w:hAnsi="宋体" w:eastAsia="宋体" w:cs="宋体"/>
                <w:color w:val="auto"/>
                <w:sz w:val="21"/>
                <w:szCs w:val="21"/>
              </w:rPr>
              <w:t>针对活动现场学生参与情况，</w:t>
            </w:r>
            <w:r>
              <w:rPr>
                <w:rFonts w:hint="eastAsia" w:ascii="宋体" w:hAnsi="宋体" w:eastAsia="宋体" w:cs="宋体"/>
                <w:color w:val="auto"/>
                <w:kern w:val="0"/>
                <w:sz w:val="21"/>
                <w:szCs w:val="21"/>
                <w:lang w:val="en-US" w:eastAsia="zh-CN" w:bidi="ar"/>
              </w:rPr>
              <w:t>支持现场画面实时传输、实时展示</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rPr>
              <w:t>得</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分，</w:t>
            </w:r>
            <w:r>
              <w:rPr>
                <w:rFonts w:hint="eastAsia" w:ascii="宋体" w:hAnsi="宋体" w:eastAsia="宋体" w:cs="宋体"/>
                <w:b/>
                <w:bCs w:val="0"/>
                <w:color w:val="auto"/>
                <w:kern w:val="2"/>
                <w:sz w:val="21"/>
                <w:szCs w:val="21"/>
              </w:rPr>
              <w:t>须提供截图证明材料，不满足要求</w:t>
            </w:r>
            <w:r>
              <w:rPr>
                <w:rFonts w:hint="eastAsia" w:ascii="宋体" w:hAnsi="宋体" w:eastAsia="宋体" w:cs="宋体"/>
                <w:b/>
                <w:bCs w:val="0"/>
                <w:color w:val="auto"/>
                <w:kern w:val="2"/>
                <w:sz w:val="21"/>
                <w:szCs w:val="21"/>
                <w:lang w:val="en-US" w:eastAsia="zh-CN"/>
              </w:rPr>
              <w:t>的不得分</w:t>
            </w:r>
            <w:r>
              <w:rPr>
                <w:rFonts w:hint="eastAsia" w:ascii="宋体" w:hAnsi="宋体" w:eastAsia="宋体" w:cs="宋体"/>
                <w:b/>
                <w:bCs w:val="0"/>
                <w:color w:val="auto"/>
                <w:kern w:val="2"/>
                <w:sz w:val="21"/>
                <w:szCs w:val="21"/>
              </w:rPr>
              <w:t>。</w:t>
            </w:r>
            <w:r>
              <w:rPr>
                <w:rFonts w:hint="eastAsia" w:ascii="宋体" w:hAnsi="宋体" w:eastAsia="宋体" w:cs="宋体"/>
                <w:color w:val="auto"/>
                <w:sz w:val="21"/>
                <w:szCs w:val="21"/>
              </w:rPr>
              <w:t xml:space="preserve"> </w:t>
            </w:r>
          </w:p>
        </w:tc>
      </w:tr>
    </w:tbl>
    <w:p w14:paraId="082377D8">
      <w:pPr>
        <w:ind w:firstLine="480" w:firstLineChars="200"/>
        <w:jc w:val="left"/>
        <w:rPr>
          <w:rFonts w:hint="eastAsia" w:asciiTheme="minorEastAsia" w:hAnsiTheme="minorEastAsia" w:eastAsiaTheme="minorEastAsia" w:cstheme="minorEastAsia"/>
          <w:color w:val="auto"/>
          <w:sz w:val="24"/>
          <w:szCs w:val="24"/>
          <w:highlight w:val="none"/>
          <w:lang w:val="en-US" w:eastAsia="zh-Hans"/>
        </w:rPr>
      </w:pPr>
      <w:r>
        <w:rPr>
          <w:rFonts w:hint="eastAsia" w:asciiTheme="minorEastAsia" w:hAnsiTheme="minorEastAsia" w:eastAsiaTheme="minorEastAsia" w:cstheme="minorEastAsia"/>
          <w:color w:val="auto"/>
          <w:sz w:val="24"/>
          <w:szCs w:val="24"/>
          <w:highlight w:val="none"/>
          <w:lang w:val="en-US" w:eastAsia="zh-Hans"/>
        </w:rPr>
        <w:t>商务部分评分PB满分为</w:t>
      </w:r>
      <w:r>
        <w:rPr>
          <w:rFonts w:hint="eastAsia" w:asciiTheme="minorEastAsia" w:hAnsiTheme="minorEastAsia" w:eastAsiaTheme="minorEastAsia" w:cstheme="minorEastAsia"/>
          <w:color w:val="auto"/>
          <w:kern w:val="0"/>
          <w:sz w:val="24"/>
          <w:szCs w:val="24"/>
          <w:highlight w:val="none"/>
          <w:u w:val="single"/>
          <w:lang w:val="en-US" w:eastAsia="zh-CN" w:bidi="ar"/>
        </w:rPr>
        <w:t>10</w:t>
      </w:r>
      <w:r>
        <w:rPr>
          <w:rFonts w:hint="eastAsia" w:asciiTheme="minorEastAsia" w:hAnsiTheme="minorEastAsia" w:eastAsiaTheme="minorEastAsia" w:cstheme="minorEastAsia"/>
          <w:color w:val="auto"/>
          <w:sz w:val="24"/>
          <w:szCs w:val="24"/>
          <w:highlight w:val="none"/>
          <w:lang w:val="en-US" w:eastAsia="zh-Hans"/>
        </w:rPr>
        <w:t>分</w:t>
      </w:r>
    </w:p>
    <w:tbl>
      <w:tblPr>
        <w:tblStyle w:val="16"/>
        <w:tblW w:w="979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350"/>
        <w:gridCol w:w="787"/>
        <w:gridCol w:w="884"/>
        <w:gridCol w:w="6774"/>
      </w:tblGrid>
      <w:tr w14:paraId="464042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50" w:type="dxa"/>
          </w:tcPr>
          <w:p w14:paraId="146669A2">
            <w:pPr>
              <w:pStyle w:val="42"/>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项目</w:t>
            </w:r>
          </w:p>
        </w:tc>
        <w:tc>
          <w:tcPr>
            <w:tcW w:w="787" w:type="dxa"/>
          </w:tcPr>
          <w:p w14:paraId="6DE7F9A0">
            <w:pPr>
              <w:pStyle w:val="42"/>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分值</w:t>
            </w:r>
          </w:p>
        </w:tc>
        <w:tc>
          <w:tcPr>
            <w:tcW w:w="884" w:type="dxa"/>
          </w:tcPr>
          <w:p w14:paraId="721ACCA1">
            <w:pPr>
              <w:pStyle w:val="42"/>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是否客观项</w:t>
            </w:r>
          </w:p>
        </w:tc>
        <w:tc>
          <w:tcPr>
            <w:tcW w:w="6774" w:type="dxa"/>
          </w:tcPr>
          <w:p w14:paraId="57347C76">
            <w:pPr>
              <w:pStyle w:val="42"/>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描述</w:t>
            </w:r>
          </w:p>
        </w:tc>
      </w:tr>
      <w:tr w14:paraId="2CAC41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50" w:type="dxa"/>
          </w:tcPr>
          <w:p w14:paraId="4D90DD0D">
            <w:pPr>
              <w:pStyle w:val="42"/>
              <w:rPr>
                <w:rFonts w:hint="default"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业绩</w:t>
            </w:r>
          </w:p>
        </w:tc>
        <w:tc>
          <w:tcPr>
            <w:tcW w:w="787" w:type="dxa"/>
          </w:tcPr>
          <w:p w14:paraId="030449AC">
            <w:pPr>
              <w:pStyle w:val="42"/>
              <w:jc w:val="right"/>
              <w:rPr>
                <w:rFonts w:hint="default"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是</w:t>
            </w:r>
          </w:p>
        </w:tc>
        <w:tc>
          <w:tcPr>
            <w:tcW w:w="884" w:type="dxa"/>
          </w:tcPr>
          <w:p w14:paraId="1C988E76">
            <w:pPr>
              <w:pStyle w:val="42"/>
              <w:rPr>
                <w:rFonts w:hint="default"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p>
        </w:tc>
        <w:tc>
          <w:tcPr>
            <w:tcW w:w="6774" w:type="dxa"/>
          </w:tcPr>
          <w:p w14:paraId="05B129B2">
            <w:pPr>
              <w:pStyle w:val="42"/>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供应商近三年（自本项目响应文件提交截止时间前 3 年内，以合同签订时间为准）承接的高校生涯体验周、就业体验周同类服务业绩，每提供 1 项有效业绩得1分，本项最高得10分。</w:t>
            </w:r>
            <w:r>
              <w:rPr>
                <w:rFonts w:hint="eastAsia" w:ascii="宋体" w:hAnsi="宋体" w:eastAsia="宋体" w:cs="宋体"/>
                <w:color w:val="auto"/>
                <w:sz w:val="21"/>
                <w:szCs w:val="21"/>
                <w:highlight w:val="none"/>
                <w:lang w:val="en-US" w:eastAsia="zh-CN"/>
              </w:rPr>
              <w:t>须提供业绩列表及相对应的业绩证明材料，业绩证明材料为成交（成交）通知书或合同。无证明材料或证明材料不明确、无法体现业绩内容的，不予认可。</w:t>
            </w:r>
          </w:p>
        </w:tc>
      </w:tr>
    </w:tbl>
    <w:p w14:paraId="64BDD332">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异常低价审查</w:t>
      </w:r>
    </w:p>
    <w:tbl>
      <w:tblPr>
        <w:tblStyle w:val="16"/>
        <w:tblW w:w="9833"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20"/>
        <w:gridCol w:w="8113"/>
      </w:tblGrid>
      <w:tr w14:paraId="35F3CF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720" w:type="dxa"/>
          </w:tcPr>
          <w:p w14:paraId="09F56C2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w:t>
            </w:r>
          </w:p>
        </w:tc>
        <w:tc>
          <w:tcPr>
            <w:tcW w:w="8113" w:type="dxa"/>
          </w:tcPr>
          <w:p w14:paraId="4BCBC9C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描述</w:t>
            </w:r>
          </w:p>
        </w:tc>
      </w:tr>
      <w:tr w14:paraId="4E75EB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20" w:type="dxa"/>
          </w:tcPr>
          <w:p w14:paraId="6BF09CC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异常低价审查</w:t>
            </w:r>
          </w:p>
        </w:tc>
        <w:tc>
          <w:tcPr>
            <w:tcW w:w="8113" w:type="dxa"/>
          </w:tcPr>
          <w:p w14:paraId="073D9D1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根据《关于推动解决政府采购异常低价问题的通知》（财库〔2026〕2号）等相关规定，政府采购评审中出现下列情形之一的，评审委员会应当启动异常低价投标（响应）审查程序：（1）</w:t>
            </w:r>
            <w:r>
              <w:rPr>
                <w:rFonts w:hint="eastAsia" w:asciiTheme="minorEastAsia" w:hAnsiTheme="minorEastAsia" w:eastAsiaTheme="minorEastAsia" w:cstheme="minorEastAsia"/>
                <w:color w:val="auto"/>
                <w:highlight w:val="none"/>
                <w:lang w:eastAsia="zh-CN"/>
              </w:rPr>
              <w:t>龙岩学院2026年生涯体验周和就业体验周活动服务项目</w:t>
            </w:r>
            <w:r>
              <w:rPr>
                <w:rFonts w:hint="eastAsia" w:asciiTheme="minorEastAsia" w:hAnsiTheme="minorEastAsia" w:eastAsiaTheme="minorEastAsia" w:cstheme="minorEastAsia"/>
                <w:color w:val="auto"/>
                <w:highlight w:val="none"/>
              </w:rPr>
              <w:t>响应报价低于全部通过符合性审查供应商响应报价平均值50%的，即</w:t>
            </w:r>
            <w:r>
              <w:rPr>
                <w:rFonts w:hint="eastAsia" w:asciiTheme="minorEastAsia" w:hAnsiTheme="minorEastAsia" w:eastAsiaTheme="minorEastAsia" w:cstheme="minorEastAsia"/>
                <w:color w:val="auto"/>
                <w:highlight w:val="none"/>
                <w:lang w:eastAsia="zh-CN"/>
              </w:rPr>
              <w:t>龙岩学院2026年生涯体验周和就业体验周活动服务项目</w:t>
            </w:r>
            <w:r>
              <w:rPr>
                <w:rFonts w:hint="eastAsia" w:asciiTheme="minorEastAsia" w:hAnsiTheme="minorEastAsia" w:eastAsiaTheme="minorEastAsia" w:cstheme="minorEastAsia"/>
                <w:color w:val="auto"/>
                <w:highlight w:val="none"/>
              </w:rPr>
              <w:t>响应报价&lt;全部通过符合性审查供应商响应报价平均值×50%。（2）</w:t>
            </w:r>
            <w:r>
              <w:rPr>
                <w:rFonts w:hint="eastAsia" w:asciiTheme="minorEastAsia" w:hAnsiTheme="minorEastAsia" w:eastAsiaTheme="minorEastAsia" w:cstheme="minorEastAsia"/>
                <w:color w:val="auto"/>
                <w:highlight w:val="none"/>
                <w:lang w:eastAsia="zh-CN"/>
              </w:rPr>
              <w:t>龙岩学院2026年生涯体验周和就业体验周活动服务项目</w:t>
            </w:r>
            <w:r>
              <w:rPr>
                <w:rFonts w:hint="eastAsia" w:asciiTheme="minorEastAsia" w:hAnsiTheme="minorEastAsia" w:eastAsiaTheme="minorEastAsia" w:cstheme="minorEastAsia"/>
                <w:color w:val="auto"/>
                <w:highlight w:val="none"/>
              </w:rPr>
              <w:t>响应报价低于通过符合性审查且报价次低供应商响应报价50%的，即</w:t>
            </w:r>
            <w:r>
              <w:rPr>
                <w:rFonts w:hint="eastAsia" w:asciiTheme="minorEastAsia" w:hAnsiTheme="minorEastAsia" w:eastAsiaTheme="minorEastAsia" w:cstheme="minorEastAsia"/>
                <w:color w:val="auto"/>
                <w:highlight w:val="none"/>
                <w:lang w:eastAsia="zh-CN"/>
              </w:rPr>
              <w:t>龙岩学院2026年生涯体验周和就业体验周活动服务项目</w:t>
            </w:r>
            <w:r>
              <w:rPr>
                <w:rFonts w:hint="eastAsia" w:asciiTheme="minorEastAsia" w:hAnsiTheme="minorEastAsia" w:eastAsiaTheme="minorEastAsia" w:cstheme="minorEastAsia"/>
                <w:color w:val="auto"/>
                <w:highlight w:val="none"/>
              </w:rPr>
              <w:t>响应报价&lt;通过符合性审查且报价次低供应商响应报价×50%。（3）</w:t>
            </w:r>
            <w:r>
              <w:rPr>
                <w:rFonts w:hint="eastAsia" w:asciiTheme="minorEastAsia" w:hAnsiTheme="minorEastAsia" w:eastAsiaTheme="minorEastAsia" w:cstheme="minorEastAsia"/>
                <w:color w:val="auto"/>
                <w:highlight w:val="none"/>
                <w:lang w:eastAsia="zh-CN"/>
              </w:rPr>
              <w:t>龙岩学院2026年生涯体验周和就业体验周活动服务项目</w:t>
            </w:r>
            <w:r>
              <w:rPr>
                <w:rFonts w:hint="eastAsia" w:asciiTheme="minorEastAsia" w:hAnsiTheme="minorEastAsia" w:eastAsiaTheme="minorEastAsia" w:cstheme="minorEastAsia"/>
                <w:color w:val="auto"/>
                <w:highlight w:val="none"/>
              </w:rPr>
              <w:t>响应报价低于最高限价45%的，即</w:t>
            </w:r>
            <w:r>
              <w:rPr>
                <w:rFonts w:hint="eastAsia" w:asciiTheme="minorEastAsia" w:hAnsiTheme="minorEastAsia" w:eastAsiaTheme="minorEastAsia" w:cstheme="minorEastAsia"/>
                <w:color w:val="auto"/>
                <w:highlight w:val="none"/>
                <w:lang w:eastAsia="zh-CN"/>
              </w:rPr>
              <w:t>龙岩学院2026年生涯体验周和就业体验周活动服务项目</w:t>
            </w:r>
            <w:r>
              <w:rPr>
                <w:rFonts w:hint="eastAsia" w:asciiTheme="minorEastAsia" w:hAnsiTheme="minorEastAsia" w:eastAsiaTheme="minorEastAsia" w:cstheme="minorEastAsia"/>
                <w:color w:val="auto"/>
                <w:highlight w:val="none"/>
              </w:rPr>
              <w:t>响应报价&lt;最高限价×45%。（4）其他评审委员会认为供应商报价过低（数量报价过高），有可能影响产品质量或者不能诚信履约的情形。评审委员会启动异常低价投标（响应）审查后，应当要求相关供应商在评审现场合理的时间内提供书面说明及必要的证明材料，对投标（响应）价格作出解释。</w:t>
            </w:r>
          </w:p>
        </w:tc>
      </w:tr>
    </w:tbl>
    <w:p w14:paraId="4793B7D6">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7EAF02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评审委员会依据专业经验，参考同类项目</w:t>
      </w:r>
      <w:r>
        <w:rPr>
          <w:rFonts w:hint="eastAsia" w:asciiTheme="minorEastAsia" w:hAnsiTheme="minorEastAsia" w:eastAsiaTheme="minorEastAsia" w:cstheme="minorEastAsia"/>
          <w:color w:val="auto"/>
          <w:highlight w:val="none"/>
          <w:lang w:eastAsia="zh-CN"/>
        </w:rPr>
        <w:t>成交</w:t>
      </w:r>
      <w:r>
        <w:rPr>
          <w:rFonts w:hint="eastAsia" w:asciiTheme="minorEastAsia" w:hAnsiTheme="minorEastAsia" w:eastAsiaTheme="minorEastAsia" w:cstheme="minorEastAsia"/>
          <w:color w:val="auto"/>
          <w:highlight w:val="none"/>
        </w:rPr>
        <w:t>（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604287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采购人、采购代理机构应当为评审委员会在评审现场及时获取同类项目</w:t>
      </w:r>
      <w:r>
        <w:rPr>
          <w:rFonts w:hint="eastAsia" w:asciiTheme="minorEastAsia" w:hAnsiTheme="minorEastAsia" w:eastAsiaTheme="minorEastAsia" w:cstheme="minorEastAsia"/>
          <w:color w:val="auto"/>
          <w:highlight w:val="none"/>
          <w:lang w:eastAsia="zh-CN"/>
        </w:rPr>
        <w:t>成交</w:t>
      </w:r>
      <w:r>
        <w:rPr>
          <w:rFonts w:hint="eastAsia" w:asciiTheme="minorEastAsia" w:hAnsiTheme="minorEastAsia" w:eastAsiaTheme="minorEastAsia" w:cstheme="minorEastAsia"/>
          <w:color w:val="auto"/>
          <w:highlight w:val="none"/>
        </w:rPr>
        <w:t>（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CFB038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异常低价投标（响应）审查的启动原因、审查意见和审查结果应当在评审报告中记录，并随供应商提供的相关书面说明及证明材料，以及评审委员会有关互联网浏览、查询历史一并归档。</w:t>
      </w:r>
    </w:p>
    <w:p w14:paraId="70C3DD6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384"/>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(4)成交候选供应商排列规则顺序和并列相同时的处理约定如下：</w:t>
      </w:r>
    </w:p>
    <w:p w14:paraId="7CF3798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384"/>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a.成交候选供应商按照综合评审总得分(FA)由高到低顺序排列推荐。</w:t>
      </w:r>
    </w:p>
    <w:p w14:paraId="5CB4E1A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384"/>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b.综合评审总得分(FA)相同的，按照经评审最后磋商报价由低到高顺序推荐。</w:t>
      </w:r>
    </w:p>
    <w:p w14:paraId="71B8EE3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372"/>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c.综合评审总得分(FA)且经评审最后磋商报价仍然相同的，按照技术指标优劣顺序推荐。</w:t>
      </w:r>
    </w:p>
    <w:p w14:paraId="7BE0F9E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372"/>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d.经前述顺序处理仍然并列相同的，则通过随机抽取方式确定优先顺序推荐。</w:t>
      </w:r>
    </w:p>
    <w:p w14:paraId="1ABCF57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jc w:val="center"/>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四、评审报告</w:t>
      </w:r>
    </w:p>
    <w:p w14:paraId="3401697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4.1磋商小组完成评审后，应当编写评审报告并提交给</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w:t>
      </w:r>
    </w:p>
    <w:p w14:paraId="3F21486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4.2评审报告应当包括以下主要内容：</w:t>
      </w:r>
    </w:p>
    <w:p w14:paraId="6ED15FEC">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(一)邀请供应商参加</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活动的具体方式和相关情况；</w:t>
      </w:r>
    </w:p>
    <w:p w14:paraId="7D6D74D3">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(二)响应文件开启日期和地点；</w:t>
      </w:r>
    </w:p>
    <w:p w14:paraId="7018C54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(三)获取磋商文件的供应商名单和磋商小组成员名单；</w:t>
      </w:r>
    </w:p>
    <w:p w14:paraId="4665B03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(四)评审情况记录和说明，包括对供应商的资格审查情况、供应商响应文件评审情况、磋商情况、报价情况等；</w:t>
      </w:r>
    </w:p>
    <w:p w14:paraId="0CD44943">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(五)提出的成交候选供应商的排序名单及理由。</w:t>
      </w:r>
    </w:p>
    <w:p w14:paraId="4196902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4.3评审报告应当由磋商小组全体人员签字认可。磋商小组成员对评审报告有异议的，磋商小组按照少数服从多数的原则推荐成交候选供应商，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0DF0BD8C">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jc w:val="center"/>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五、其他规定</w:t>
      </w:r>
    </w:p>
    <w:p w14:paraId="5B496A4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5.1其他规定</w:t>
      </w:r>
    </w:p>
    <w:p w14:paraId="1C73F3F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5.1.1评审应全程保密且不得透露给任一供应商或与评审工作无关的人员。</w:t>
      </w:r>
    </w:p>
    <w:p w14:paraId="4F4E5DF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5.1.2评审将进行全程实时录音录像，录音录像资料随磋商文件一并存档。</w:t>
      </w:r>
    </w:p>
    <w:p w14:paraId="1785D83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5.1.3若供应商有任何试图干扰具体评审事务，影响磋商小组独立履行职责的行为，其响应无效且不予退还磋商保证金。情节严重的，由财政部门列入不良行为记录。</w:t>
      </w:r>
    </w:p>
    <w:p w14:paraId="1B94A914">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Style w:val="25"/>
          <w:rFonts w:hint="eastAsia" w:asciiTheme="minorEastAsia" w:hAnsiTheme="minorEastAsia" w:eastAsiaTheme="minorEastAsia" w:cstheme="minorEastAsia"/>
          <w:color w:val="auto"/>
          <w:kern w:val="2"/>
          <w:highlight w:val="none"/>
          <w:lang w:eastAsia="zh-CN"/>
        </w:rPr>
      </w:pPr>
      <w:r>
        <w:rPr>
          <w:rFonts w:hint="eastAsia" w:asciiTheme="minorEastAsia" w:hAnsiTheme="minorEastAsia" w:eastAsiaTheme="minorEastAsia" w:cstheme="minorEastAsia"/>
          <w:color w:val="auto"/>
          <w:highlight w:val="none"/>
        </w:rPr>
        <w:t>5.1.4根据</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项目的特点和需要，需要加以详细说明的其他磋商程序规定、要求等内容：</w:t>
      </w:r>
      <w:r>
        <w:rPr>
          <w:rFonts w:hint="eastAsia" w:asciiTheme="minorEastAsia" w:hAnsiTheme="minorEastAsia" w:eastAsiaTheme="minorEastAsia" w:cstheme="minorEastAsia"/>
          <w:color w:val="auto"/>
          <w:highlight w:val="none"/>
          <w:lang w:eastAsia="zh-CN"/>
        </w:rPr>
        <w:t>无</w:t>
      </w:r>
    </w:p>
    <w:p w14:paraId="22928784">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sz w:val="30"/>
          <w:szCs w:val="30"/>
          <w:highlight w:val="none"/>
        </w:rPr>
      </w:pPr>
      <w:r>
        <w:rPr>
          <w:rStyle w:val="19"/>
          <w:rFonts w:hint="eastAsia" w:asciiTheme="minorEastAsia" w:hAnsiTheme="minorEastAsia" w:eastAsiaTheme="minorEastAsia" w:cstheme="minorEastAsia"/>
          <w:color w:val="auto"/>
          <w:sz w:val="30"/>
          <w:szCs w:val="30"/>
          <w:highlight w:val="none"/>
        </w:rPr>
        <w:t>第2节竞争性磋商须知 </w:t>
      </w:r>
    </w:p>
    <w:p w14:paraId="195DDD77">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一、总则</w:t>
      </w:r>
    </w:p>
    <w:p w14:paraId="2A86FD52">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1.适用范围：</w:t>
      </w:r>
    </w:p>
    <w:p w14:paraId="72981E2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1.1适用于磋商文件载明项目的</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活动(以下简称：“本次</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w:t>
      </w:r>
    </w:p>
    <w:p w14:paraId="41FC6F9F">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2.定义及要求：</w:t>
      </w:r>
    </w:p>
    <w:p w14:paraId="0394571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2.1“</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标的”指磋商文件载明的需要</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的货物、服务、工程。</w:t>
      </w:r>
    </w:p>
    <w:p w14:paraId="0E143B1B">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人”指本次</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项目的买方、或业主方、或甲方，具体见磋商文件第一章；“</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代理机构”系指接受</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人委托，组织开展竞争性磋商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活动的代理机构，具体见磋商文件第一章。</w:t>
      </w:r>
    </w:p>
    <w:p w14:paraId="04345E1B">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2.3“潜在供应商”按照磋商文件第一章规定进行报名，且有意向参加本项目响应磋商的供应商。</w:t>
      </w:r>
    </w:p>
    <w:p w14:paraId="00DEF7DF">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2.4“供应商”指按照磋商文件第一章规定进行报名，且已经提交响应文件的法人或其他组织或自然人。只有适合自然人参与和承接的政府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项目，供应商才可以是自然人。</w:t>
      </w:r>
    </w:p>
    <w:p w14:paraId="76743AC7">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2.5“单位负责人”指单位法定代表人(供应商为法人的)或法律、法规规定代表单位行使职权的主要负责人(供应商为其他组织的)。</w:t>
      </w:r>
    </w:p>
    <w:p w14:paraId="40812DB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2.6“供应商代表”指供应商(为法人或其他组织的)的单位负责人或由其授权的委托代理人，即单位负责人授权书中载明的接受授权方。供应商为自然人的，由本人签字并附身份证明。</w:t>
      </w:r>
    </w:p>
    <w:p w14:paraId="2C18BC8F">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3.合格的</w:t>
      </w:r>
      <w:r>
        <w:rPr>
          <w:rFonts w:hint="eastAsia" w:asciiTheme="minorEastAsia" w:hAnsiTheme="minorEastAsia" w:eastAsiaTheme="minorEastAsia" w:cstheme="minorEastAsia"/>
          <w:color w:val="auto"/>
          <w:highlight w:val="none"/>
        </w:rPr>
        <w:t>供应商</w:t>
      </w:r>
      <w:r>
        <w:rPr>
          <w:rStyle w:val="19"/>
          <w:rFonts w:hint="eastAsia" w:asciiTheme="minorEastAsia" w:hAnsiTheme="minorEastAsia" w:eastAsiaTheme="minorEastAsia" w:cstheme="minorEastAsia"/>
          <w:color w:val="auto"/>
          <w:highlight w:val="none"/>
        </w:rPr>
        <w:t>：</w:t>
      </w:r>
    </w:p>
    <w:p w14:paraId="1CFBA76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3.1一般规定</w:t>
      </w:r>
    </w:p>
    <w:p w14:paraId="52FB136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3.1.1供应商应当遵守中国的有关法律、法规和规章的规定，参加</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活动时已经自觉检查并按照政府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相关法律规定，主动回避相应利害关系。</w:t>
      </w:r>
    </w:p>
    <w:p w14:paraId="2EFC8FA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3.1.2为</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项目提供整体设计、规范编制或项目管理、监理、检测等服务的供应商，不得再参加该</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项目除整体设计、规范编制和项目管理、监理、检测等服务之外的其他</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w:t>
      </w:r>
      <w:r>
        <w:rPr>
          <w:rStyle w:val="19"/>
          <w:rFonts w:hint="eastAsia" w:asciiTheme="minorEastAsia" w:hAnsiTheme="minorEastAsia" w:eastAsiaTheme="minorEastAsia" w:cstheme="minorEastAsia"/>
          <w:color w:val="auto"/>
          <w:highlight w:val="none"/>
        </w:rPr>
        <w:t>。</w:t>
      </w:r>
    </w:p>
    <w:p w14:paraId="5437F959">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3.1.3列入失信被执行人、重大税收违法案件当事人名单、政府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严重违法失信行为记录名单及其他不符合《中华人民共和国政府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法》第二十二条规定条件的供应商，不得参加</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w:t>
      </w:r>
      <w:r>
        <w:rPr>
          <w:rStyle w:val="19"/>
          <w:rFonts w:hint="eastAsia" w:asciiTheme="minorEastAsia" w:hAnsiTheme="minorEastAsia" w:eastAsiaTheme="minorEastAsia" w:cstheme="minorEastAsia"/>
          <w:color w:val="auto"/>
          <w:highlight w:val="none"/>
        </w:rPr>
        <w:t>。</w:t>
      </w:r>
    </w:p>
    <w:p w14:paraId="2CFB79AC">
      <w:pPr>
        <w:pStyle w:val="13"/>
        <w:widowControl/>
        <w:spacing w:before="0" w:beforeAutospacing="0" w:after="0" w:afterAutospacing="0" w:line="500" w:lineRule="exact"/>
        <w:ind w:firstLine="482" w:firstLineChars="200"/>
        <w:rPr>
          <w:rFonts w:hint="eastAsia" w:asciiTheme="minorEastAsia" w:hAnsiTheme="minorEastAsia" w:eastAsiaTheme="minorEastAsia" w:cstheme="minorEastAsia"/>
          <w:color w:val="auto"/>
          <w:sz w:val="24"/>
          <w:szCs w:val="24"/>
          <w:highlight w:val="none"/>
        </w:rPr>
      </w:pPr>
      <w:r>
        <w:rPr>
          <w:rStyle w:val="19"/>
          <w:rFonts w:hint="eastAsia" w:asciiTheme="minorEastAsia" w:hAnsiTheme="minorEastAsia" w:eastAsiaTheme="minorEastAsia" w:cstheme="minorEastAsia"/>
          <w:color w:val="auto"/>
          <w:sz w:val="24"/>
          <w:szCs w:val="24"/>
          <w:highlight w:val="none"/>
        </w:rPr>
        <w:t>供应商有责任检查自身情况，在响应文件中对是否违反以上一般规定做出如实声明，否则其响应文件将被否决。</w:t>
      </w:r>
    </w:p>
    <w:p w14:paraId="0B401A0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3.2特别规定</w:t>
      </w:r>
    </w:p>
    <w:p w14:paraId="279009C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3.2.1供应商的资格要求：详见竞争性磋商须知前附表第</w:t>
      </w:r>
      <w:r>
        <w:rPr>
          <w:rFonts w:hint="eastAsia" w:asciiTheme="minorEastAsia" w:hAnsiTheme="minorEastAsia" w:eastAsiaTheme="minorEastAsia" w:cstheme="minorEastAsia"/>
          <w:color w:val="auto"/>
          <w:highlight w:val="none"/>
          <w:u w:val="single"/>
        </w:rPr>
        <w:t>1</w:t>
      </w:r>
      <w:r>
        <w:rPr>
          <w:rFonts w:hint="eastAsia" w:asciiTheme="minorEastAsia" w:hAnsiTheme="minorEastAsia" w:eastAsiaTheme="minorEastAsia" w:cstheme="minorEastAsia"/>
          <w:color w:val="auto"/>
          <w:highlight w:val="none"/>
        </w:rPr>
        <w:t>项。</w:t>
      </w:r>
    </w:p>
    <w:p w14:paraId="04A38816">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3.2.2是否接受联合体形式的响应磋商：详见竞争性磋商须知前附表第</w:t>
      </w:r>
      <w:r>
        <w:rPr>
          <w:rFonts w:hint="eastAsia" w:asciiTheme="minorEastAsia" w:hAnsiTheme="minorEastAsia" w:eastAsiaTheme="minorEastAsia" w:cstheme="minorEastAsia"/>
          <w:color w:val="auto"/>
          <w:highlight w:val="none"/>
          <w:u w:val="single"/>
        </w:rPr>
        <w:t>2</w:t>
      </w:r>
      <w:r>
        <w:rPr>
          <w:rFonts w:hint="eastAsia" w:asciiTheme="minorEastAsia" w:hAnsiTheme="minorEastAsia" w:eastAsiaTheme="minorEastAsia" w:cstheme="minorEastAsia"/>
          <w:color w:val="auto"/>
          <w:highlight w:val="none"/>
        </w:rPr>
        <w:t>项。若接受联合体形式且供应商为联合体，则联合体各方除了应遵守本章第3.1条规定外，还应遵守下列规定：</w:t>
      </w:r>
    </w:p>
    <w:p w14:paraId="200DEE2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(1)联合体各方应提交联合体协议，联合体协议应符合磋商文件规定。</w:t>
      </w:r>
    </w:p>
    <w:p w14:paraId="2FB9E598">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(2)联合体各方不得再单独参加或与其他供应商另外组成联合体参加同一合同项下的响应磋商。</w:t>
      </w:r>
    </w:p>
    <w:p w14:paraId="1B96C62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(3)联合体各方应共同与</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人签订政府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合同，就政府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合同约定的事项对</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人承担连带责任。</w:t>
      </w:r>
    </w:p>
    <w:p w14:paraId="65BFDA6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3.2.3若接受联合体形式，单位负责人为同一人或者存在直接控股、管理关系的不同供应商可以组成一个联合体，以一个供应商的身份参加</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活动。若不接受联合体形式，则单位负责人为同一人或者存在直接控股、管理关系的不同供应商，不得参加同一合同项下的</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w:t>
      </w:r>
    </w:p>
    <w:p w14:paraId="7D31F684">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4.参与竞争性磋商费用：</w:t>
      </w:r>
    </w:p>
    <w:p w14:paraId="5D87CA2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4.1除法律法规或磋商文件另有规定之外，供应商应自行承担其准备与参加竞争性磋商所涉及的一切费用。</w:t>
      </w:r>
    </w:p>
    <w:p w14:paraId="7B37CDD9">
      <w:pPr>
        <w:pStyle w:val="13"/>
        <w:widowControl/>
        <w:spacing w:before="0" w:beforeAutospacing="0" w:after="0" w:afterAutospacing="0" w:line="500" w:lineRule="exact"/>
        <w:ind w:firstLine="542" w:firstLineChars="200"/>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二、竞争性磋商文件 </w:t>
      </w:r>
    </w:p>
    <w:p w14:paraId="253C6692">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5.竞争性磋商文件的组成：</w:t>
      </w:r>
    </w:p>
    <w:p w14:paraId="1BDEF07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5.1竞争性磋商文件由下述部分组成：</w:t>
      </w:r>
    </w:p>
    <w:p w14:paraId="58ED651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第一章 </w:t>
      </w:r>
      <w:r>
        <w:rPr>
          <w:rFonts w:hint="eastAsia" w:asciiTheme="minorEastAsia" w:hAnsiTheme="minorEastAsia" w:eastAsiaTheme="minorEastAsia" w:cstheme="minorEastAsia"/>
          <w:color w:val="auto"/>
          <w:spacing w:val="0"/>
          <w:sz w:val="24"/>
          <w:szCs w:val="24"/>
          <w:highlight w:val="none"/>
        </w:rPr>
        <w:t>采购公告（或采购邀请书）</w:t>
      </w:r>
    </w:p>
    <w:p w14:paraId="36A7A0D7">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第二章 竞争性磋商须知</w:t>
      </w:r>
    </w:p>
    <w:p w14:paraId="39D8F928">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第三章 </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内容及要求</w:t>
      </w:r>
    </w:p>
    <w:p w14:paraId="751D6EB9">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第四章 合同主要条款及格式</w:t>
      </w:r>
    </w:p>
    <w:p w14:paraId="784C119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第五章 首次响应文件格式</w:t>
      </w:r>
    </w:p>
    <w:p w14:paraId="61E13AD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5.2除上述内容以外，</w:t>
      </w:r>
      <w:r>
        <w:rPr>
          <w:rFonts w:hint="eastAsia" w:asciiTheme="minorEastAsia" w:hAnsiTheme="minorEastAsia" w:eastAsiaTheme="minorEastAsia" w:cstheme="minorEastAsia"/>
          <w:color w:val="auto"/>
          <w:spacing w:val="0"/>
          <w:sz w:val="24"/>
          <w:szCs w:val="24"/>
          <w:highlight w:val="none"/>
        </w:rPr>
        <w:t>采购人、采购代理</w:t>
      </w:r>
      <w:r>
        <w:rPr>
          <w:rFonts w:hint="eastAsia" w:asciiTheme="minorEastAsia" w:hAnsiTheme="minorEastAsia" w:eastAsiaTheme="minorEastAsia" w:cstheme="minorEastAsia"/>
          <w:color w:val="auto"/>
          <w:highlight w:val="none"/>
        </w:rPr>
        <w:t>机构或者磋商小组在</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过程期间对磋商文件所作的澄清、修改或补充，均构成磋商文件的组成部分，对</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人和供应商具有约束力。</w:t>
      </w:r>
    </w:p>
    <w:p w14:paraId="48284496">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6.竞争性磋商文件的澄清、补充、修改及现场考察等：</w:t>
      </w:r>
    </w:p>
    <w:p w14:paraId="6887421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6.1提交首次响应文件截止之日前，</w:t>
      </w:r>
      <w:r>
        <w:rPr>
          <w:rFonts w:hint="eastAsia" w:asciiTheme="minorEastAsia" w:hAnsiTheme="minorEastAsia" w:eastAsiaTheme="minorEastAsia" w:cstheme="minorEastAsia"/>
          <w:color w:val="auto"/>
          <w:spacing w:val="0"/>
          <w:sz w:val="24"/>
          <w:szCs w:val="24"/>
          <w:highlight w:val="none"/>
        </w:rPr>
        <w:t>采购人、采购代理</w:t>
      </w:r>
      <w:r>
        <w:rPr>
          <w:rFonts w:hint="eastAsia" w:asciiTheme="minorEastAsia" w:hAnsiTheme="minorEastAsia" w:eastAsiaTheme="minorEastAsia" w:cstheme="minorEastAsia"/>
          <w:color w:val="auto"/>
          <w:highlight w:val="none"/>
        </w:rPr>
        <w:t>机构或者磋商小组可以对已发出的磋商文件进行必要的澄清、补充或者修改，澄清、补充或者修改的内容作为磋商文件的组成部分。澄清、补充或者修改的内容可能影响响应文件编制的，</w:t>
      </w:r>
      <w:r>
        <w:rPr>
          <w:rFonts w:hint="eastAsia" w:asciiTheme="minorEastAsia" w:hAnsiTheme="minorEastAsia" w:eastAsiaTheme="minorEastAsia" w:cstheme="minorEastAsia"/>
          <w:color w:val="auto"/>
          <w:spacing w:val="0"/>
          <w:sz w:val="24"/>
          <w:szCs w:val="24"/>
          <w:highlight w:val="none"/>
        </w:rPr>
        <w:t>采购人、采购代理</w:t>
      </w:r>
      <w:r>
        <w:rPr>
          <w:rFonts w:hint="eastAsia" w:asciiTheme="minorEastAsia" w:hAnsiTheme="minorEastAsia" w:eastAsiaTheme="minorEastAsia" w:cstheme="minorEastAsia"/>
          <w:color w:val="auto"/>
          <w:highlight w:val="none"/>
        </w:rPr>
        <w:t>机构或者磋商小组将在提交首次响应文件截止时间5个日历日前，以书面形式通知所有获取磋商文件的潜在供应商，不足5个日历日的，</w:t>
      </w:r>
      <w:r>
        <w:rPr>
          <w:rFonts w:hint="eastAsia" w:asciiTheme="minorEastAsia" w:hAnsiTheme="minorEastAsia" w:eastAsiaTheme="minorEastAsia" w:cstheme="minorEastAsia"/>
          <w:color w:val="auto"/>
          <w:spacing w:val="0"/>
          <w:sz w:val="24"/>
          <w:szCs w:val="24"/>
          <w:highlight w:val="none"/>
        </w:rPr>
        <w:t>采购人、采购代理</w:t>
      </w:r>
      <w:r>
        <w:rPr>
          <w:rFonts w:hint="eastAsia" w:asciiTheme="minorEastAsia" w:hAnsiTheme="minorEastAsia" w:eastAsiaTheme="minorEastAsia" w:cstheme="minorEastAsia"/>
          <w:color w:val="auto"/>
          <w:highlight w:val="none"/>
        </w:rPr>
        <w:t>机构或磋商小组将顺延提交首次响应文件的截止时间。</w:t>
      </w:r>
    </w:p>
    <w:p w14:paraId="11EE2988">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6.2提交首次响应文件截止时间前，若</w:t>
      </w:r>
      <w:r>
        <w:rPr>
          <w:rFonts w:hint="eastAsia" w:asciiTheme="minorEastAsia" w:hAnsiTheme="minorEastAsia" w:eastAsiaTheme="minorEastAsia" w:cstheme="minorEastAsia"/>
          <w:color w:val="auto"/>
          <w:spacing w:val="0"/>
          <w:sz w:val="24"/>
          <w:szCs w:val="24"/>
          <w:highlight w:val="none"/>
        </w:rPr>
        <w:t>采购人</w:t>
      </w:r>
      <w:r>
        <w:rPr>
          <w:rFonts w:hint="eastAsia" w:asciiTheme="minorEastAsia" w:hAnsiTheme="minorEastAsia" w:eastAsiaTheme="minorEastAsia" w:cstheme="minorEastAsia"/>
          <w:color w:val="auto"/>
          <w:highlight w:val="none"/>
        </w:rPr>
        <w:t>发布更正公告，则更正公告及其所发布的内容或信息(包括但不限于竞争性磋商文件的澄清、补充或修改等)作为磋商文件组成部分，对</w:t>
      </w:r>
      <w:r>
        <w:rPr>
          <w:rFonts w:hint="eastAsia" w:asciiTheme="minorEastAsia" w:hAnsiTheme="minorEastAsia" w:eastAsiaTheme="minorEastAsia" w:cstheme="minorEastAsia"/>
          <w:color w:val="auto"/>
          <w:spacing w:val="0"/>
          <w:sz w:val="24"/>
          <w:szCs w:val="24"/>
          <w:highlight w:val="none"/>
        </w:rPr>
        <w:t>采购人</w:t>
      </w:r>
      <w:r>
        <w:rPr>
          <w:rFonts w:hint="eastAsia" w:asciiTheme="minorEastAsia" w:hAnsiTheme="minorEastAsia" w:eastAsiaTheme="minorEastAsia" w:cstheme="minorEastAsia"/>
          <w:color w:val="auto"/>
          <w:highlight w:val="none"/>
        </w:rPr>
        <w:t>和供应商具有约束力。更正公告作为</w:t>
      </w:r>
      <w:r>
        <w:rPr>
          <w:rFonts w:hint="eastAsia" w:asciiTheme="minorEastAsia" w:hAnsiTheme="minorEastAsia" w:eastAsiaTheme="minorEastAsia" w:cstheme="minorEastAsia"/>
          <w:color w:val="auto"/>
          <w:spacing w:val="0"/>
          <w:sz w:val="24"/>
          <w:szCs w:val="24"/>
          <w:highlight w:val="none"/>
        </w:rPr>
        <w:t>采购人</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spacing w:val="0"/>
          <w:sz w:val="24"/>
          <w:szCs w:val="24"/>
          <w:highlight w:val="none"/>
        </w:rPr>
        <w:t>采购人</w:t>
      </w:r>
      <w:r>
        <w:rPr>
          <w:rFonts w:hint="eastAsia" w:asciiTheme="minorEastAsia" w:hAnsiTheme="minorEastAsia" w:eastAsiaTheme="minorEastAsia" w:cstheme="minorEastAsia"/>
          <w:color w:val="auto"/>
          <w:highlight w:val="none"/>
        </w:rPr>
        <w:t>代理机构或磋商小组通知所有潜在供应商的书面形式，潜在供应商务必随时关注磋商文件中载明的指定媒体，以免遗漏。</w:t>
      </w:r>
    </w:p>
    <w:p w14:paraId="7E13C69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6.3</w:t>
      </w:r>
      <w:r>
        <w:rPr>
          <w:rFonts w:hint="eastAsia" w:asciiTheme="minorEastAsia" w:hAnsiTheme="minorEastAsia" w:eastAsiaTheme="minorEastAsia" w:cstheme="minorEastAsia"/>
          <w:color w:val="auto"/>
          <w:spacing w:val="0"/>
          <w:sz w:val="24"/>
          <w:szCs w:val="24"/>
          <w:highlight w:val="none"/>
        </w:rPr>
        <w:t>采购人、采购代理机构</w:t>
      </w:r>
      <w:r>
        <w:rPr>
          <w:rFonts w:hint="eastAsia" w:asciiTheme="minorEastAsia" w:hAnsiTheme="minorEastAsia" w:eastAsiaTheme="minorEastAsia" w:cstheme="minorEastAsia"/>
          <w:color w:val="auto"/>
          <w:highlight w:val="none"/>
        </w:rPr>
        <w:t>可以视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项目的具体情况，组织供应商进行现场考察或召开磋商前答疑会，是否组织现场考察或召开磋商前答疑会详见竞争性磋商须知前附表第</w:t>
      </w:r>
      <w:r>
        <w:rPr>
          <w:rFonts w:hint="eastAsia" w:asciiTheme="minorEastAsia" w:hAnsiTheme="minorEastAsia" w:eastAsiaTheme="minorEastAsia" w:cstheme="minorEastAsia"/>
          <w:color w:val="auto"/>
          <w:highlight w:val="none"/>
          <w:u w:val="single"/>
        </w:rPr>
        <w:t>3</w:t>
      </w:r>
      <w:r>
        <w:rPr>
          <w:rFonts w:hint="eastAsia" w:asciiTheme="minorEastAsia" w:hAnsiTheme="minorEastAsia" w:eastAsiaTheme="minorEastAsia" w:cstheme="minorEastAsia"/>
          <w:color w:val="auto"/>
          <w:highlight w:val="none"/>
        </w:rPr>
        <w:t>项。</w:t>
      </w:r>
    </w:p>
    <w:p w14:paraId="667A4534">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三、响应文件编制</w:t>
      </w:r>
    </w:p>
    <w:p w14:paraId="099C28F7">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7.应标要求</w:t>
      </w:r>
    </w:p>
    <w:p w14:paraId="2EF22BF7">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7.1供应商可按照合同包号，对竞争性磋商文件中载明的全部或部分合同包进行响应。对于能够详细列明</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标的技术、服务要求的</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项目，供应商响应时，对同一个合同包内所有的</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内容和要求必须进行完整响应，否则其相应合同包的响应文件将被否决。</w:t>
      </w:r>
    </w:p>
    <w:p w14:paraId="4B99B638">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7.2供应商代表在同一个合同项下只能接受一个供应商的委托参加响应磋商，否则其响应文件将被否决。</w:t>
      </w:r>
    </w:p>
    <w:p w14:paraId="31FD412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7.3供应商应仔细阅读磋商文件的所有内容和要求，按磋商文件的规定提供响应文件，并对其所提供的全部资料、承诺和声明的真实性、合法性和准确性负责。</w:t>
      </w:r>
    </w:p>
    <w:p w14:paraId="6184621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7.4除非竞争性磋商须知前附表另有规定外，供应商提供的响应文件应使用中文文本，若有不同文字文本，以中文文本为准。</w:t>
      </w:r>
    </w:p>
    <w:p w14:paraId="4EA09FF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2A950E1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7.6除非竞争性磋商须知前附表另有规定外，供应商承诺的报价应以人民币进行报价，合同实施结算时亦以人民币支付；所有计量均采用中华人民共和国法定计量单位。</w:t>
      </w:r>
    </w:p>
    <w:p w14:paraId="47D99500">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8.首次响应文件的组成：</w:t>
      </w:r>
    </w:p>
    <w:p w14:paraId="063A4D8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8.1首次响应文件包括但不限于下列部分：</w:t>
      </w:r>
    </w:p>
    <w:p w14:paraId="0879E5D9">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(1)响应函</w:t>
      </w:r>
    </w:p>
    <w:p w14:paraId="4D1EB3C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(2)报价一览表</w:t>
      </w:r>
    </w:p>
    <w:p w14:paraId="29D7945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(3)资格证明文件</w:t>
      </w:r>
    </w:p>
    <w:p w14:paraId="29E6CC8F">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lang w:val="en-US" w:eastAsia="zh-CN"/>
        </w:rPr>
        <w:t>4</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技术和商务偏离表</w:t>
      </w:r>
    </w:p>
    <w:p w14:paraId="18BF8A26">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5</w:t>
      </w:r>
      <w:r>
        <w:rPr>
          <w:rFonts w:hint="eastAsia" w:asciiTheme="minorEastAsia" w:hAnsiTheme="minorEastAsia" w:eastAsiaTheme="minorEastAsia" w:cstheme="minorEastAsia"/>
          <w:color w:val="auto"/>
          <w:highlight w:val="none"/>
        </w:rPr>
        <w:t>)相关技术、商务、服务响应承诺及资料</w:t>
      </w:r>
    </w:p>
    <w:p w14:paraId="0DB5C7D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6</w:t>
      </w:r>
      <w:r>
        <w:rPr>
          <w:rFonts w:hint="eastAsia" w:asciiTheme="minorEastAsia" w:hAnsiTheme="minorEastAsia" w:eastAsiaTheme="minorEastAsia" w:cstheme="minorEastAsia"/>
          <w:color w:val="auto"/>
          <w:highlight w:val="none"/>
        </w:rPr>
        <w:t>)供应商提交的其他资料</w:t>
      </w:r>
    </w:p>
    <w:p w14:paraId="146CB53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7</w:t>
      </w:r>
      <w:r>
        <w:rPr>
          <w:rFonts w:hint="eastAsia" w:asciiTheme="minorEastAsia" w:hAnsiTheme="minorEastAsia" w:eastAsiaTheme="minorEastAsia" w:cstheme="minorEastAsia"/>
          <w:color w:val="auto"/>
          <w:highlight w:val="none"/>
        </w:rPr>
        <w:t>)要求作为响应文件组成部分的其他内容(若有)</w:t>
      </w:r>
    </w:p>
    <w:p w14:paraId="6D10173B">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9.响应文件有效期：</w:t>
      </w:r>
    </w:p>
    <w:p w14:paraId="64F8411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9.1响应文件有效期见竞争性磋商须知前附表第</w:t>
      </w:r>
      <w:r>
        <w:rPr>
          <w:rFonts w:hint="eastAsia" w:asciiTheme="minorEastAsia" w:hAnsiTheme="minorEastAsia" w:eastAsiaTheme="minorEastAsia" w:cstheme="minorEastAsia"/>
          <w:color w:val="auto"/>
          <w:highlight w:val="none"/>
          <w:u w:val="single"/>
        </w:rPr>
        <w:t>4</w:t>
      </w:r>
      <w:r>
        <w:rPr>
          <w:rFonts w:hint="eastAsia" w:asciiTheme="minorEastAsia" w:hAnsiTheme="minorEastAsia" w:eastAsiaTheme="minorEastAsia" w:cstheme="minorEastAsia"/>
          <w:color w:val="auto"/>
          <w:highlight w:val="none"/>
        </w:rPr>
        <w:t>项，响应文件承诺的有效期不得少于磋商文件载明的有效期，</w:t>
      </w:r>
      <w:r>
        <w:rPr>
          <w:rStyle w:val="19"/>
          <w:rFonts w:hint="eastAsia" w:asciiTheme="minorEastAsia" w:hAnsiTheme="minorEastAsia" w:eastAsiaTheme="minorEastAsia" w:cstheme="minorEastAsia"/>
          <w:color w:val="auto"/>
          <w:highlight w:val="none"/>
        </w:rPr>
        <w:t>否则其响应文件将被否决。</w:t>
      </w:r>
    </w:p>
    <w:p w14:paraId="0387DC4F">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9.2特殊情况下</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可于响应文件有效期满之前要求供应商同意延长有效期，要求与答复均应为书面形式。供应商可以拒绝延长有效期，且其磋商保证金可以退还，但其供应商资格将被取消。同意延长有效期的供应商，不需要也不允许修改其响应文件及磋商承诺，但将要求其相应延长磋商保证金有效期，有关退还和不予退还磋商保证金的规定在有效期延长期内继续有效。</w:t>
      </w:r>
    </w:p>
    <w:p w14:paraId="79A520D3">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10.磋商保证金：</w:t>
      </w:r>
    </w:p>
    <w:p w14:paraId="0CC2AF5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10.1供应商应在参加竞争性磋商之前按竞争性磋商须知前附表第</w:t>
      </w:r>
      <w:r>
        <w:rPr>
          <w:rFonts w:hint="eastAsia" w:asciiTheme="minorEastAsia" w:hAnsiTheme="minorEastAsia" w:eastAsiaTheme="minorEastAsia" w:cstheme="minorEastAsia"/>
          <w:color w:val="auto"/>
          <w:highlight w:val="none"/>
          <w:u w:val="single"/>
        </w:rPr>
        <w:t>5</w:t>
      </w:r>
      <w:r>
        <w:rPr>
          <w:rFonts w:hint="eastAsia" w:asciiTheme="minorEastAsia" w:hAnsiTheme="minorEastAsia" w:eastAsiaTheme="minorEastAsia" w:cstheme="minorEastAsia"/>
          <w:color w:val="auto"/>
          <w:highlight w:val="none"/>
        </w:rPr>
        <w:t>项规定的金额、形式等要求提交磋商保证金。磋商文件若接受联合体形式且供应商为联合体的，则可以由联合体中的牵头方提交磋商保证金，其提交的磋商保证金对联合体各方均具有约束力。</w:t>
      </w:r>
    </w:p>
    <w:p w14:paraId="7A9B2A5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10.2磋商保证金为响应文件的重要组成部分之一。磋商保证金用于保护本次磋商活动免受供应商的违约或失信行为而引起的风险。未按规定提交磋商保证金的，</w:t>
      </w:r>
      <w:r>
        <w:rPr>
          <w:rStyle w:val="19"/>
          <w:rFonts w:hint="eastAsia" w:asciiTheme="minorEastAsia" w:hAnsiTheme="minorEastAsia" w:eastAsiaTheme="minorEastAsia" w:cstheme="minorEastAsia"/>
          <w:color w:val="auto"/>
          <w:highlight w:val="none"/>
        </w:rPr>
        <w:t>其响应文件将被否决。</w:t>
      </w:r>
    </w:p>
    <w:p w14:paraId="650F8217">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10.3磋商保证金退还：</w:t>
      </w:r>
    </w:p>
    <w:p w14:paraId="7086A61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10.3.1</w:t>
      </w:r>
      <w:r>
        <w:rPr>
          <w:rFonts w:hint="eastAsia" w:asciiTheme="minorEastAsia" w:hAnsiTheme="minorEastAsia" w:eastAsiaTheme="minorEastAsia" w:cstheme="minorEastAsia"/>
          <w:color w:val="auto"/>
          <w:spacing w:val="0"/>
          <w:sz w:val="24"/>
          <w:szCs w:val="24"/>
          <w:highlight w:val="none"/>
        </w:rPr>
        <w:t>采购人或者采购代理机构</w:t>
      </w:r>
      <w:r>
        <w:rPr>
          <w:rFonts w:hint="eastAsia" w:asciiTheme="minorEastAsia" w:hAnsiTheme="minorEastAsia" w:eastAsiaTheme="minorEastAsia" w:cstheme="minorEastAsia"/>
          <w:color w:val="auto"/>
          <w:highlight w:val="none"/>
        </w:rPr>
        <w:t>将在</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活动结束后及时退还供应商的保证金，但因供应商自身原因导致无法及时退还的除外(比如：</w:t>
      </w:r>
      <w:r>
        <w:rPr>
          <w:rFonts w:hint="eastAsia" w:asciiTheme="minorEastAsia" w:hAnsiTheme="minorEastAsia" w:eastAsiaTheme="minorEastAsia" w:cstheme="minorEastAsia"/>
          <w:color w:val="auto"/>
          <w:spacing w:val="0"/>
          <w:sz w:val="24"/>
          <w:szCs w:val="24"/>
          <w:highlight w:val="none"/>
        </w:rPr>
        <w:t>采购人</w:t>
      </w:r>
      <w:r>
        <w:rPr>
          <w:rFonts w:hint="eastAsia" w:asciiTheme="minorEastAsia" w:hAnsiTheme="minorEastAsia" w:eastAsiaTheme="minorEastAsia" w:cstheme="minorEastAsia"/>
          <w:color w:val="auto"/>
          <w:highlight w:val="none"/>
        </w:rPr>
        <w:t>委托代理机构组织磋商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，成交的供应商未向</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代理机构出具已签订合同证明材料，造成磋商保证金退还时间延误的结果，由成交的供应商自行承担和谅解等)。未成交人的保证金将在成交通知书发出后5个工作日内退还，成交人的保证金将在</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合同签订后5个工作日内退还。关于磋商保证金退还的其它要求见竞争性磋商须知前附表第</w:t>
      </w:r>
      <w:r>
        <w:rPr>
          <w:rFonts w:hint="eastAsia" w:asciiTheme="minorEastAsia" w:hAnsiTheme="minorEastAsia" w:eastAsiaTheme="minorEastAsia" w:cstheme="minorEastAsia"/>
          <w:color w:val="auto"/>
          <w:highlight w:val="none"/>
          <w:u w:val="single"/>
        </w:rPr>
        <w:t>6</w:t>
      </w:r>
      <w:r>
        <w:rPr>
          <w:rFonts w:hint="eastAsia" w:asciiTheme="minorEastAsia" w:hAnsiTheme="minorEastAsia" w:eastAsiaTheme="minorEastAsia" w:cstheme="minorEastAsia"/>
          <w:color w:val="auto"/>
          <w:highlight w:val="none"/>
        </w:rPr>
        <w:t>项。</w:t>
      </w:r>
    </w:p>
    <w:p w14:paraId="26B4FCD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10.3.2质疑或投诉涉及的供应商，若其磋商保证金尚未退还，则待质疑或投诉处理完毕后，且没有发生法律法规或者磋商文件规定的不予退还磋商保证金情形，则由</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代理机构给予及时退还。</w:t>
      </w:r>
    </w:p>
    <w:p w14:paraId="0418B0D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10.4如果供应商发生以下任何一种情况时，其磋商保证金将被不予退还：</w:t>
      </w:r>
    </w:p>
    <w:p w14:paraId="2C78B568">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(1)供应商在提交响应文件截止时间后撤回响应文件的；</w:t>
      </w:r>
    </w:p>
    <w:p w14:paraId="76736BA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(2)供应商在响应文件中提供虚假材料的；</w:t>
      </w:r>
    </w:p>
    <w:p w14:paraId="6DA9B06B">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(3)除因不可抗力或磋商文件认可的情形以外，成交人不与</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人签订合同的；</w:t>
      </w:r>
    </w:p>
    <w:p w14:paraId="6ADEBB5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(4)供应商与</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人、其他供应商或者</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代理机构恶意串通的；</w:t>
      </w:r>
    </w:p>
    <w:p w14:paraId="3CE4CF0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(5)供应商在提交最后报价后要求退出磋商的；</w:t>
      </w:r>
    </w:p>
    <w:p w14:paraId="07E411D6">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(6)供应商假借以他人名义参加磋商或者以其他方式弄虚作假，骗取成交；</w:t>
      </w:r>
    </w:p>
    <w:p w14:paraId="2D0D70FB">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(7)国家法律法规以及磋商文件中规定的其他磋商保证金不予退还的情形。</w:t>
      </w:r>
    </w:p>
    <w:p w14:paraId="44DF0EF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上述不予退还磋商保证金的情况不能抵偿给</w:t>
      </w:r>
      <w:r>
        <w:rPr>
          <w:rFonts w:hint="eastAsia" w:asciiTheme="minorEastAsia" w:hAnsiTheme="minorEastAsia" w:eastAsiaTheme="minorEastAsia" w:cstheme="minorEastAsia"/>
          <w:color w:val="auto"/>
          <w:spacing w:val="0"/>
          <w:sz w:val="24"/>
          <w:szCs w:val="24"/>
          <w:highlight w:val="none"/>
        </w:rPr>
        <w:t>采购人或采购代理</w:t>
      </w:r>
      <w:r>
        <w:rPr>
          <w:rFonts w:hint="eastAsia" w:asciiTheme="minorEastAsia" w:hAnsiTheme="minorEastAsia" w:eastAsiaTheme="minorEastAsia" w:cstheme="minorEastAsia"/>
          <w:color w:val="auto"/>
          <w:highlight w:val="none"/>
        </w:rPr>
        <w:t>机构造成损失的，供应商还要承担赔偿责任。</w:t>
      </w:r>
    </w:p>
    <w:p w14:paraId="176FCE13">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11.响应文件基本编制要求：</w:t>
      </w:r>
    </w:p>
    <w:p w14:paraId="36476D9F">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11.1供应商须编制由本须知规定组成的响应文件正副本份数详见竞争性磋商须知前附表第</w:t>
      </w:r>
      <w:r>
        <w:rPr>
          <w:rFonts w:hint="eastAsia" w:asciiTheme="minorEastAsia" w:hAnsiTheme="minorEastAsia" w:eastAsiaTheme="minorEastAsia" w:cstheme="minorEastAsia"/>
          <w:color w:val="auto"/>
          <w:highlight w:val="none"/>
          <w:u w:val="single"/>
        </w:rPr>
        <w:t>7</w:t>
      </w:r>
      <w:r>
        <w:rPr>
          <w:rFonts w:hint="eastAsia" w:asciiTheme="minorEastAsia" w:hAnsiTheme="minorEastAsia" w:eastAsiaTheme="minorEastAsia" w:cstheme="minorEastAsia"/>
          <w:color w:val="auto"/>
          <w:highlight w:val="none"/>
        </w:rPr>
        <w:t>项。响应文件正本和全部副本均应使用不能擦去的墨料或墨水打印、书写或复印，副本可以用正本的完整复印件。响应文件封面上应标明“正本”、“副本”字样。正本与副本内容如有不一致，则以正本为准。</w:t>
      </w:r>
    </w:p>
    <w:p w14:paraId="1478E0F3">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11.2响应文件应由供应商代表签字并加盖公章。供应商代表如果不是竞争性磋商须知中定义的“单位负责人”，则其响应文件中还必须提供“单位负责人授权书”。</w:t>
      </w:r>
    </w:p>
    <w:p w14:paraId="64D38D4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11.3响应文件应尽量避免涂改、行间插字或删除。如果出现上述情况，改动之处应加盖供应商单位公章或由供应商代表签字确认。</w:t>
      </w:r>
    </w:p>
    <w:p w14:paraId="7A25DF2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11.4供应商应提交证明其拟提供货物、服务或工程符合磋商文件要求的技术和商务响应文件，该文件可以是文字资料、图纸和数据，并对拟提供的货物、服务或工程的主要内容进行详细描述。</w:t>
      </w:r>
    </w:p>
    <w:p w14:paraId="1B56F786">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12.纸质响应文件的密封、标识、签署和提交</w:t>
      </w:r>
    </w:p>
    <w:p w14:paraId="154CAEA6">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12.1供应商应当将响应文件密封包装提交，并在外封套上标识项目名称、项目编号、供应商单位名称以及“于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之前(指首次响应文件递交截止日期及时间)不准启封响应文件”的字样；采用邮寄方式提交响应文件的，其外包装上也必须按前文要求做好标识内容和字样，且供应商还应当主动向</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人或</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代理机构确认邮件收递情况。由于供应商未按照要求对其提交的响应文件进行密封、标识、邮寄确认等，由此可能产生的后果(包括拒收、误放、遗漏或提前拆封等情形)，将由供应商自行承担相应结果，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人或</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代理机构不承担责任。</w:t>
      </w:r>
    </w:p>
    <w:p w14:paraId="2A248E4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12.2供应商应当在磋商文件规定的提交响应文件截止时间前，将首次响应文件密封送达磋商文件规定的指定地点。在截止时间后送达的首次响应文件为无效文件，</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人、</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代理机构或者磋商小组将不予接收。</w:t>
      </w:r>
    </w:p>
    <w:p w14:paraId="705288A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12.3供应商在首次响应文件递交截止时间前，可以对其所提交的响应文件进行补充、修改或者撤回，并书面通知</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人、</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代理机构或磋商小组。补充、修改的内容作为响应文件的组成部分。补充、修改的内容与响应文件不一致的，以补充、修改的内容为准。供应商在提交响应文件截止时间前提交的补充、修改或者撤回申请要求，应当以原件书面形式并由供应商代表签署(供应商代表如果不是竞争性磋商须知中定义的“单位负责人”，则还必须提供“单位负责人授权书”)，或者加盖供应商单位公章方可生效，否则</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人、</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代理机构或磋商小组将视为无效补充、修改或者撤回。</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人、</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代理机构或磋商小组不接受供应商口头、电话、传真或电子邮件形式提交的补充、修改或者撤回。</w:t>
      </w:r>
    </w:p>
    <w:p w14:paraId="29E03A1F">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12.4供应商在磋商过程中根据磋商小组要求，提交的有关澄清、说明、补充、更正响应文件以及最后报价响应文件等资料，均应由供应商代表签署(供应商代表如果不是竞争性磋商须知中定义的“单位负责人”，则还必须提供“单位负责人授权书”)，或者加盖供应商单位公章。</w:t>
      </w:r>
    </w:p>
    <w:p w14:paraId="6FA873A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12.5除《政府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方式管理暂行办法》等相关法律法规及财政部门颁布的规范性文件允许的两家供应商进行竞争性磋商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情形外，首次响应文件递交截止时间后，提交响应文件的供应商不足三家的，本次竞争性磋商活动终止，除</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任务取消情形外，</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人将依法重新组织</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或者采取其他方式</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w:t>
      </w:r>
    </w:p>
    <w:p w14:paraId="1071F525">
      <w:pPr>
        <w:pStyle w:val="13"/>
        <w:widowControl/>
        <w:spacing w:before="0" w:beforeAutospacing="0" w:after="0" w:afterAutospacing="0" w:line="500" w:lineRule="exact"/>
        <w:ind w:firstLine="542" w:firstLineChars="200"/>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四、竞争性磋商</w:t>
      </w:r>
    </w:p>
    <w:p w14:paraId="3F8ABF24">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13.评审和磋商基本准则</w:t>
      </w:r>
    </w:p>
    <w:p w14:paraId="3C9C80B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13.1对所有供应商的评审和磋商，都采用相同的程序和标准。</w:t>
      </w:r>
    </w:p>
    <w:p w14:paraId="426A000D">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13.2磋商及评审过程将严格按照磋商文件的要求和条件进行，磋商小组将根据供应商的响应文件，按磋商文件规定的磋商程序及评审的标准和方法进行评审、磋商，并推荐成交候选人。</w:t>
      </w:r>
    </w:p>
    <w:p w14:paraId="61B3B76F">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14.磋商程序以及评审标准和方法</w:t>
      </w:r>
    </w:p>
    <w:p w14:paraId="7BCFC69F">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14.1</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人将根据项目的特点依法组建磋商小组。磋商小组将根据磋商文件规定的程序、评审标准和方法等内容对供应商进行评审、磋商。</w:t>
      </w:r>
    </w:p>
    <w:p w14:paraId="3E7EDDD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14.2在进入磋商阶段之前，磋商小组将对供应商提交的首次响应文件中资格证明文件以及其他响应文件是否对磋商文件的要求作出实质性响应进行审查。如果供应商资格审查和实质性响应审查不合格，则其响应文件将被磋商小组否决，按无效处理，不进入磋商阶段，磋商小组将告知有关供应商。</w:t>
      </w:r>
    </w:p>
    <w:p w14:paraId="26C034E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14.2.1供应商有下列情况之一者，其提交的响应文件将被视为未实质性响应磋商文件要求，磋商小组将否决其响应文件，按无效处理：</w:t>
      </w:r>
    </w:p>
    <w:p w14:paraId="40A3285D">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(1)响应文件中提供的资格证明文件不全的；</w:t>
      </w:r>
    </w:p>
    <w:p w14:paraId="6ABFD77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(2)响应文件未按磋商文件规定由供应商代表签字，或未按磋商文件规定加盖供应商单位公章的；或供应商代表未获得有效授权的；</w:t>
      </w:r>
    </w:p>
    <w:p w14:paraId="59B3A076">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(3)供应商未按磋商文件规定提交磋商保证金的；</w:t>
      </w:r>
    </w:p>
    <w:p w14:paraId="1199204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(4)响应文件有效期不满足磋商文件要求的；</w:t>
      </w:r>
    </w:p>
    <w:p w14:paraId="53CB65C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(5)响应内容与磋商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内容及要求有重大偏离或保留的，限制了</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人的权利或者减少成交人合同项下的义务；(由于磋商项目本身特点，不能详细列明</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标的的技术、服务要求的除外)；</w:t>
      </w:r>
    </w:p>
    <w:p w14:paraId="143B0D13">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(6)响应文件中附有</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人无法接受的条件的；</w:t>
      </w:r>
    </w:p>
    <w:p w14:paraId="7A621890">
      <w:pPr>
        <w:keepNext w:val="0"/>
        <w:keepLines w:val="0"/>
        <w:widowControl/>
        <w:suppressLineNumbers w:val="0"/>
        <w:jc w:val="left"/>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(7)不符合磋商文件中规定的其它实质性条款(比如：报价超过了磋商文件规定的最高限价)。</w:t>
      </w:r>
    </w:p>
    <w:p w14:paraId="19EE35FB">
      <w:pPr>
        <w:keepNext w:val="0"/>
        <w:keepLines w:val="0"/>
        <w:widowControl/>
        <w:suppressLineNumbers w:val="0"/>
        <w:jc w:val="left"/>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14.2.2其他情形</w:t>
      </w:r>
    </w:p>
    <w:p w14:paraId="27CBCFB2">
      <w:pPr>
        <w:keepNext w:val="0"/>
        <w:keepLines w:val="0"/>
        <w:widowControl/>
        <w:suppressLineNumbers w:val="0"/>
        <w:jc w:val="left"/>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包：1</w:t>
      </w:r>
    </w:p>
    <w:p w14:paraId="30988108">
      <w:pPr>
        <w:pStyle w:val="29"/>
        <w:rPr>
          <w:rFonts w:hint="eastAsia" w:asciiTheme="minorEastAsia" w:hAnsiTheme="minorEastAsia" w:eastAsiaTheme="minorEastAsia" w:cstheme="minorEastAsia"/>
          <w:color w:val="auto"/>
          <w:highlight w:val="none"/>
          <w:lang w:eastAsia="zh-CN"/>
        </w:rPr>
      </w:pPr>
    </w:p>
    <w:p w14:paraId="498EFE67">
      <w:pPr>
        <w:keepNext w:val="0"/>
        <w:keepLines w:val="0"/>
        <w:widowControl/>
        <w:suppressLineNumbers w:val="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sz w:val="24"/>
          <w:szCs w:val="24"/>
          <w:highlight w:val="none"/>
          <w:lang w:val="en-US" w:eastAsia="zh-CN" w:bidi="ar"/>
        </w:rPr>
        <w:t>技术符合性</w:t>
      </w:r>
    </w:p>
    <w:tbl>
      <w:tblPr>
        <w:tblStyle w:val="16"/>
        <w:tblW w:w="9753"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9753"/>
      </w:tblGrid>
      <w:tr w14:paraId="0CABA4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blCellSpacing w:w="0" w:type="dxa"/>
        </w:trPr>
        <w:tc>
          <w:tcPr>
            <w:tcW w:w="9753" w:type="dxa"/>
            <w:tcBorders>
              <w:top w:val="outset" w:color="auto" w:sz="6" w:space="0"/>
              <w:left w:val="outset" w:color="auto" w:sz="6" w:space="0"/>
              <w:bottom w:val="outset" w:color="auto" w:sz="6" w:space="0"/>
              <w:right w:val="outset" w:color="auto" w:sz="6" w:space="0"/>
            </w:tcBorders>
            <w:noWrap w:val="0"/>
            <w:vAlign w:val="center"/>
          </w:tcPr>
          <w:p w14:paraId="628EE2E6">
            <w:pPr>
              <w:keepNext w:val="0"/>
              <w:keepLines w:val="0"/>
              <w:widowControl/>
              <w:suppressLineNumbers w:val="0"/>
              <w:jc w:val="center"/>
              <w:rPr>
                <w:rFonts w:hint="eastAsia"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明细</w:t>
            </w:r>
          </w:p>
        </w:tc>
      </w:tr>
      <w:tr w14:paraId="6D798C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9753" w:type="dxa"/>
            <w:tcBorders>
              <w:top w:val="outset" w:color="auto" w:sz="6" w:space="0"/>
              <w:left w:val="outset" w:color="auto" w:sz="6" w:space="0"/>
              <w:bottom w:val="outset" w:color="auto" w:sz="6" w:space="0"/>
              <w:right w:val="outset" w:color="auto" w:sz="6" w:space="0"/>
            </w:tcBorders>
            <w:noWrap w:val="0"/>
            <w:vAlign w:val="center"/>
          </w:tcPr>
          <w:p w14:paraId="23B18B4A">
            <w:pPr>
              <w:keepNext w:val="0"/>
              <w:keepLines w:val="0"/>
              <w:widowControl/>
              <w:suppressLineNumbers w:val="0"/>
              <w:jc w:val="left"/>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第三章《采购内容及要求》中二、技术要求有任一项负偏离的。</w:t>
            </w:r>
          </w:p>
        </w:tc>
      </w:tr>
      <w:tr w14:paraId="488371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9753" w:type="dxa"/>
            <w:tcBorders>
              <w:top w:val="outset" w:color="auto" w:sz="6" w:space="0"/>
              <w:left w:val="outset" w:color="auto" w:sz="6" w:space="0"/>
              <w:bottom w:val="outset" w:color="auto" w:sz="6" w:space="0"/>
              <w:right w:val="outset" w:color="auto" w:sz="6" w:space="0"/>
            </w:tcBorders>
            <w:noWrap w:val="0"/>
            <w:vAlign w:val="center"/>
          </w:tcPr>
          <w:p w14:paraId="06DCA176">
            <w:pPr>
              <w:keepNext w:val="0"/>
              <w:keepLines w:val="0"/>
              <w:widowControl/>
              <w:suppressLineNumbers w:val="0"/>
              <w:jc w:val="left"/>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违反磋商文件中载明“无效响应”或“响应文件无效”条款的规定。</w:t>
            </w:r>
          </w:p>
        </w:tc>
      </w:tr>
    </w:tbl>
    <w:p w14:paraId="02CB7346">
      <w:pPr>
        <w:keepNext w:val="0"/>
        <w:keepLines w:val="0"/>
        <w:widowControl/>
        <w:suppressLineNumbers w:val="0"/>
        <w:jc w:val="left"/>
        <w:rPr>
          <w:rFonts w:hint="eastAsia" w:asciiTheme="minorEastAsia" w:hAnsiTheme="minorEastAsia" w:eastAsiaTheme="minorEastAsia" w:cstheme="minorEastAsia"/>
          <w:color w:val="auto"/>
          <w:kern w:val="0"/>
          <w:sz w:val="24"/>
          <w:szCs w:val="24"/>
          <w:highlight w:val="none"/>
          <w:lang w:val="en-US" w:eastAsia="zh-CN" w:bidi="ar"/>
        </w:rPr>
      </w:pPr>
    </w:p>
    <w:p w14:paraId="46A80A42">
      <w:pPr>
        <w:keepNext w:val="0"/>
        <w:keepLines w:val="0"/>
        <w:widowControl/>
        <w:suppressLineNumbers w:val="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sz w:val="24"/>
          <w:szCs w:val="24"/>
          <w:highlight w:val="none"/>
          <w:lang w:val="en-US" w:eastAsia="zh-CN" w:bidi="ar"/>
        </w:rPr>
        <w:t>商务符合性</w:t>
      </w:r>
    </w:p>
    <w:tbl>
      <w:tblPr>
        <w:tblStyle w:val="16"/>
        <w:tblW w:w="9753"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9753"/>
      </w:tblGrid>
      <w:tr w14:paraId="63F0A0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blCellSpacing w:w="0" w:type="dxa"/>
        </w:trPr>
        <w:tc>
          <w:tcPr>
            <w:tcW w:w="9753" w:type="dxa"/>
            <w:tcBorders>
              <w:top w:val="outset" w:color="auto" w:sz="6" w:space="0"/>
              <w:left w:val="outset" w:color="auto" w:sz="6" w:space="0"/>
              <w:bottom w:val="outset" w:color="auto" w:sz="6" w:space="0"/>
              <w:right w:val="outset" w:color="auto" w:sz="6" w:space="0"/>
            </w:tcBorders>
            <w:noWrap w:val="0"/>
            <w:vAlign w:val="center"/>
          </w:tcPr>
          <w:p w14:paraId="62466634">
            <w:pPr>
              <w:keepNext w:val="0"/>
              <w:keepLines w:val="0"/>
              <w:widowControl/>
              <w:suppressLineNumbers w:val="0"/>
              <w:jc w:val="center"/>
              <w:rPr>
                <w:rFonts w:hint="eastAsia"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明细</w:t>
            </w:r>
          </w:p>
        </w:tc>
      </w:tr>
      <w:tr w14:paraId="087B7A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9753" w:type="dxa"/>
            <w:tcBorders>
              <w:top w:val="outset" w:color="auto" w:sz="6" w:space="0"/>
              <w:left w:val="outset" w:color="auto" w:sz="6" w:space="0"/>
              <w:bottom w:val="outset" w:color="auto" w:sz="6" w:space="0"/>
              <w:right w:val="outset" w:color="auto" w:sz="6" w:space="0"/>
            </w:tcBorders>
            <w:noWrap w:val="0"/>
            <w:vAlign w:val="center"/>
          </w:tcPr>
          <w:p w14:paraId="06F8CBBD">
            <w:pPr>
              <w:keepNext w:val="0"/>
              <w:keepLines w:val="0"/>
              <w:widowControl/>
              <w:suppressLineNumbers w:val="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sz w:val="24"/>
                <w:szCs w:val="24"/>
                <w:highlight w:val="none"/>
                <w:lang w:val="en-US" w:eastAsia="zh-CN" w:bidi="ar"/>
              </w:rPr>
              <w:t>交付地点、交付时间、交付条件、验收方式、支付方式等商务条件不满足磋商文件要求的。</w:t>
            </w:r>
          </w:p>
        </w:tc>
      </w:tr>
      <w:tr w14:paraId="4523BE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9753" w:type="dxa"/>
            <w:tcBorders>
              <w:top w:val="outset" w:color="auto" w:sz="6" w:space="0"/>
              <w:left w:val="outset" w:color="auto" w:sz="6" w:space="0"/>
              <w:bottom w:val="outset" w:color="auto" w:sz="6" w:space="0"/>
              <w:right w:val="outset" w:color="auto" w:sz="6" w:space="0"/>
            </w:tcBorders>
            <w:noWrap w:val="0"/>
            <w:vAlign w:val="center"/>
          </w:tcPr>
          <w:p w14:paraId="076B71EF">
            <w:pPr>
              <w:keepNext w:val="0"/>
              <w:keepLines w:val="0"/>
              <w:widowControl/>
              <w:suppressLineNumbers w:val="0"/>
              <w:jc w:val="left"/>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违反磋商文件中载明“无效响应”或“响应文件无效”条款的规定。</w:t>
            </w:r>
          </w:p>
        </w:tc>
      </w:tr>
    </w:tbl>
    <w:p w14:paraId="4E2B3B39">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磋商小组决定供应商的响应性只根据响应文件本身的内容，而不寻求其他的外部证据。</w:t>
      </w:r>
    </w:p>
    <w:p w14:paraId="76C65D1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14.3磋商小组在对供应商进行响应文件资格审查、实质响应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w:t>
      </w:r>
    </w:p>
    <w:p w14:paraId="25CDC02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14.4只有资格审查和实质性响应审查合格的供应商才能进入磋商阶段。磋商小组所有成员将集中与单一供应商分别进行磋商，并给予所有参加磋商的合格供应商平等的磋商机会。磋商过程中，磋商小组可以根据磋商文件和磋商情况实质性变动</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需求中的技术、服务要求以及合同草案条款，但不得变动竞争性磋商文件中的其他内容。实质性变动的内容，须经</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人代表确认。磋商过程中对磋商文件作出的实质性变动是磋商文件的有效组成部分，磋商小组将及时以书面形式同时通知所有参加磋商的供应商。根据</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项目的特点和需要，在磋商过程中可能发生实质性变动的内容详见竞争性磋商须知前附表第</w:t>
      </w:r>
      <w:r>
        <w:rPr>
          <w:rFonts w:hint="eastAsia" w:asciiTheme="minorEastAsia" w:hAnsiTheme="minorEastAsia" w:eastAsiaTheme="minorEastAsia" w:cstheme="minorEastAsia"/>
          <w:color w:val="auto"/>
          <w:highlight w:val="none"/>
          <w:u w:val="single"/>
        </w:rPr>
        <w:t>8</w:t>
      </w:r>
      <w:r>
        <w:rPr>
          <w:rFonts w:hint="eastAsia" w:asciiTheme="minorEastAsia" w:hAnsiTheme="minorEastAsia" w:eastAsiaTheme="minorEastAsia" w:cstheme="minorEastAsia"/>
          <w:color w:val="auto"/>
          <w:highlight w:val="none"/>
        </w:rPr>
        <w:t>项。</w:t>
      </w:r>
    </w:p>
    <w:p w14:paraId="4A2907D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14.5合格供应商应当按照磋商文件的变动情况和磋商小组的要求提交补充响应文件(首次响应文件中已经提交过的如资格证明文件等资料，不用重新提供)，并由供应商代表签字或加盖供应商单位公章。供应商代表如果不是竞争性磋商须知中定义的“单位负责人”，则还必须提供“单位负责人授权书”。供应商为自然人的，应当由本人签字并附身份证明。</w:t>
      </w:r>
    </w:p>
    <w:p w14:paraId="6FE97BB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14.6磋商文件能够详细列明</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标的的技术、服务要求的，磋商结束后，磋商小组应当要求所有实质性响应的合格供应商在规定时间内提交最后报价。属于《政府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方式管理暂行办法》等相关法律法规及财政部门颁布的规范性文件允许的两家供应商进行竞争性磋商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情形，则提交最后报价的供应商可以为2家。</w:t>
      </w:r>
    </w:p>
    <w:p w14:paraId="088622F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14.7磋商文件不能详细列明</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标的的技术、服务要求，需经磋商由供应商提供最终设计方案或解决方案的，磋商结束后，磋商小组应当按照少数服从多数的原则投票推荐3家及以上供应商的设计方案或者解决方案，具体推荐数量和投票细则等内容按照“竞争性磋商须知前附表”中专项附件：“评审的标准和方法”的相关条款规定执行，并要求其在规定时间内提交最后报价。属于《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方式管理暂行办法》等相关法律法规及财政部门颁布的规范性文件允许的两家供应商进行竞争性磋商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情形，则提交最后报价的供应商可以为2家。</w:t>
      </w:r>
    </w:p>
    <w:p w14:paraId="178D78B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14.8最后报价是供应商响应文件的有效组成部分。如果供应商的最后报价明显低于其他最后报价，使得其最后报价有可能影响商品或服务质量或者不能诚信履约的，供应商应当按照磋商小组要求，在规定时间内作出书面说明，必要时提交相关证明材料；供应商不能合理说明其报价合理性的，磋商小组可以做无效响应文件和无效报价处理。</w:t>
      </w:r>
    </w:p>
    <w:p w14:paraId="4B55AD46">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14.9磋商小组将采用综合评分法对提交最后报价的供应商的响应文件和最后报价进行综合评分，具体评审的标准和方法详见竞争性磋商须知前附表第9项。磋商小组根据综合评分情况，按照评审得分由高到低顺序推荐1名及以上成交候选供应商，并编写评审报告。属于《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方式管理暂行办法》等相关法律法规及财政部门颁布的规范性文件允许的两家供应商进行竞争性磋商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情形，则可以按照评审得分由高到低顺序推荐2名成交候选供应商。如果成交候选供应商出现并列相同的评审得分，则相应处理方式按照“竞争性磋商须知前附表”中专项附件：“评审的标准和方法”的相关条款规定执行。</w:t>
      </w:r>
    </w:p>
    <w:p w14:paraId="4A0261F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14.10供应商提交的响应文件和资料将给予保密，但不退回(有关证件或证照的原件除外)。</w:t>
      </w:r>
    </w:p>
    <w:p w14:paraId="36BE6727">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五、合同授予 </w:t>
      </w:r>
    </w:p>
    <w:p w14:paraId="741D532C">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15.授予合同的准则：</w:t>
      </w:r>
    </w:p>
    <w:p w14:paraId="3915C339">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15.1除不可抗力等因素外，合同将授予响应文件符合竞争性磋商文件要求，能够圆满地履行合同，且被磋商小组推荐为第一成交候选人的供应商。</w:t>
      </w:r>
    </w:p>
    <w:p w14:paraId="0E05C4E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15.2政府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合同履行中，</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人需追加与合同标的相同的货物、工程或者服务的，在不改变合同其他条款的前提下，可以与成交人协商签订补充合同，但所有补充合同的</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金额不得超过原合同</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金额的百分之十。</w:t>
      </w:r>
    </w:p>
    <w:p w14:paraId="04819916">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15.3为维护国家利益和社会公共利益，最低报价不是被授予合同的绝对保证。</w:t>
      </w:r>
    </w:p>
    <w:p w14:paraId="7FCE9643">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16.确定成交人：</w:t>
      </w:r>
    </w:p>
    <w:p w14:paraId="42D3598D">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16.1</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人委托代理机构组织竞争性磋商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活动的，</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代理机构在评审结束后2个工作日内将评审报告送</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人确认。</w:t>
      </w:r>
    </w:p>
    <w:p w14:paraId="4F8394A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16.2</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人在收到评审报告后5个工作日内，从评审报告提出的成交候选人中，按照综合评分得分排序由高到低的原则确定成交人，也可以书面授权磋商小组直接确定成交人。</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人逾期未确定成交人且不提出异议的，视为确定评审报告提出的排序第一的供应商为成交人。</w:t>
      </w:r>
    </w:p>
    <w:p w14:paraId="6AD70215">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17.成交通知:</w:t>
      </w:r>
    </w:p>
    <w:p w14:paraId="688ACFB3">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17.1</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人或者</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代理机构在成交人确定后2个工作日内，在省级以上财政部门指定的媒体上公告成交结果，同时向成交人发出成交通知书。采用书面推荐供应商参加</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活动的，还将公告</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人和评审专家的推荐意见。</w:t>
      </w:r>
    </w:p>
    <w:p w14:paraId="57402A4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17.2成交通知书对</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人和成交人具有同等法律效力。除不可抗力因素或政策原因外，成交通知书发出后，</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人改变成交结果，或者成交人拒绝签订政府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合同的，均应当承担相应的法律责任。未成交人对成交结果公告如果有异议的，应当自成交结果公告刊登之日起7个工作日内，以书面形式向</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代理机构提出质疑，有关质疑、投诉的相关规定和要求，按照《中华人民共和国政府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法》、《中华人民共和国政府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法实施条例》、有关财政部规章等法律文件规定执行。</w:t>
      </w:r>
    </w:p>
    <w:p w14:paraId="3C96A2B8">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18.签订合同：</w:t>
      </w:r>
    </w:p>
    <w:p w14:paraId="7146C66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18.1</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人与成交人应当在成交通知书发出之日起30日内，按照磋商文件确定的合同文本以及</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标的、规格型号、</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金额、</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数量、技术和服务要求等事项签订政府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合同。根据项目的特点和需要，</w:t>
      </w:r>
      <w:r>
        <w:rPr>
          <w:rFonts w:hint="eastAsia" w:asciiTheme="minorEastAsia" w:hAnsiTheme="minorEastAsia" w:eastAsiaTheme="minorEastAsia" w:cstheme="minorEastAsia"/>
          <w:color w:val="auto"/>
          <w:spacing w:val="0"/>
          <w:sz w:val="24"/>
          <w:szCs w:val="24"/>
          <w:highlight w:val="none"/>
        </w:rPr>
        <w:t>采购人</w:t>
      </w:r>
      <w:r>
        <w:rPr>
          <w:rFonts w:hint="eastAsia" w:asciiTheme="minorEastAsia" w:hAnsiTheme="minorEastAsia" w:eastAsiaTheme="minorEastAsia" w:cstheme="minorEastAsia"/>
          <w:color w:val="auto"/>
          <w:highlight w:val="none"/>
        </w:rPr>
        <w:t>如果对签订合同的时间期限、地点有特别要求的，可以在成交通知书中进一步明确，成交人应当按照成交通知书的规定和要求，及时与</w:t>
      </w:r>
      <w:r>
        <w:rPr>
          <w:rFonts w:hint="eastAsia" w:asciiTheme="minorEastAsia" w:hAnsiTheme="minorEastAsia" w:eastAsiaTheme="minorEastAsia" w:cstheme="minorEastAsia"/>
          <w:color w:val="auto"/>
          <w:spacing w:val="0"/>
          <w:sz w:val="24"/>
          <w:szCs w:val="24"/>
          <w:highlight w:val="none"/>
        </w:rPr>
        <w:t>采购人</w:t>
      </w:r>
      <w:r>
        <w:rPr>
          <w:rFonts w:hint="eastAsia" w:asciiTheme="minorEastAsia" w:hAnsiTheme="minorEastAsia" w:eastAsiaTheme="minorEastAsia" w:cstheme="minorEastAsia"/>
          <w:color w:val="auto"/>
          <w:highlight w:val="none"/>
        </w:rPr>
        <w:t>签订合同。</w:t>
      </w:r>
    </w:p>
    <w:p w14:paraId="0627F6CD">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18.2竞争性磋商文件、成交人的响应文件及其有关澄清承诺文件等，均为签订政府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合同的依据和组成部分。</w:t>
      </w:r>
    </w:p>
    <w:p w14:paraId="0ADA896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18.3</w:t>
      </w:r>
      <w:r>
        <w:rPr>
          <w:rFonts w:hint="eastAsia" w:asciiTheme="minorEastAsia" w:hAnsiTheme="minorEastAsia" w:eastAsiaTheme="minorEastAsia" w:cstheme="minorEastAsia"/>
          <w:color w:val="auto"/>
          <w:spacing w:val="0"/>
          <w:sz w:val="24"/>
          <w:szCs w:val="24"/>
          <w:highlight w:val="none"/>
        </w:rPr>
        <w:t>采购人</w:t>
      </w:r>
      <w:r>
        <w:rPr>
          <w:rFonts w:hint="eastAsia" w:asciiTheme="minorEastAsia" w:hAnsiTheme="minorEastAsia" w:eastAsiaTheme="minorEastAsia" w:cstheme="minorEastAsia"/>
          <w:color w:val="auto"/>
          <w:highlight w:val="none"/>
        </w:rPr>
        <w:t>不得向成交人提出超出竞争性磋商文件以外的任何要求作为签订合同的条件，不得与成交人订立背离竞争性磋商文件确定的合同文本以及</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标的、规格型号、</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金额、</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数量、技术和服务要求等实质性内容的协议。</w:t>
      </w:r>
    </w:p>
    <w:p w14:paraId="51942E2B">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六、询问、质疑与投诉</w:t>
      </w:r>
    </w:p>
    <w:p w14:paraId="1B8A3A0C">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19.询问</w:t>
      </w:r>
    </w:p>
    <w:p w14:paraId="0C250DBD">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19.1潜在供应商或供应商对本次</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活动的有关事项若有疑问，可向</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代理机构提出询问，</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代理机构将按照政府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法及实施条例的有关规定进行答复。</w:t>
      </w:r>
    </w:p>
    <w:p w14:paraId="253EE66E">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20.质疑</w:t>
      </w:r>
    </w:p>
    <w:p w14:paraId="5E0D1307">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20.1质疑应在政府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法及实施条例规定的时效内提出，并符合下列条件：</w:t>
      </w:r>
    </w:p>
    <w:p w14:paraId="60DD2FD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20.1.1对磋商文件提出质疑的，质疑人应为潜在供应商，且两者的身份、名称等均应保持一致。对</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过程、结果提出质疑的，质疑人应为供应商，且两者的身份、名称等均应保持一致。提出质疑的供应商应当是直接参与所质疑项目</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活动的供应商。</w:t>
      </w:r>
    </w:p>
    <w:p w14:paraId="0B6B1A6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20.1.2质疑人应提交质疑函原件。</w:t>
      </w:r>
    </w:p>
    <w:p w14:paraId="42707B4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20.1.3质疑函应包括下列主要内容：</w:t>
      </w:r>
    </w:p>
    <w:p w14:paraId="3AC3467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①质疑人的基本信息，至少包括：全称、地址、邮政编码、联系人及联系电话等；适合自然人参加磋商的政府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且质疑人为自然人的，质疑人提供本人的身份证复印件。质疑人为法人或其他组织的，提供统一社会信用代码营业执照或者组织机构登记证件复印件、单位负责人的身份证复印件；质疑人代表为委托代理人的，还应同时提供单位负责人授权书和委托代理人的身份证复印件。</w:t>
      </w:r>
    </w:p>
    <w:p w14:paraId="128797DB">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②所质疑项目的基本信息，至少包括：项目编号、项目名称等；</w:t>
      </w:r>
    </w:p>
    <w:p w14:paraId="76C84283">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③所质疑的具体事项(以下简称：“质疑事项”)；</w:t>
      </w:r>
    </w:p>
    <w:p w14:paraId="01EBCBA7">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④质疑人自身权益受到损害的事实依据和证明材料，至少包括：</w:t>
      </w:r>
    </w:p>
    <w:p w14:paraId="2783898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a1所质疑的具体事项事实存在的证明材料；</w:t>
      </w:r>
    </w:p>
    <w:p w14:paraId="7BA41CD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a2所质疑的具体事项事实导致质疑人自身权益受到损害的证明材料，如：磋商文件、</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过程或成交结果违法违规，损害自已合法权益等证明材料；</w:t>
      </w:r>
    </w:p>
    <w:p w14:paraId="799E696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p>
    <w:p w14:paraId="4575541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⑤针对质疑事项提出的明确请求和法律依据，</w:t>
      </w:r>
    </w:p>
    <w:p w14:paraId="3062295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前述明确请求指质疑人提出质疑的目的、希望</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代理机构对其质疑作出的处理结果，如：暂停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活动、修改磋商文件、停止或纠正违法违规行为、成交结果无效、废标、重新</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等，质疑人提出质疑请求还应当对相应的法律依据进行说明。</w:t>
      </w:r>
    </w:p>
    <w:p w14:paraId="3BEDACC8">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⑥提出质疑的日期以及质疑人代表联系方式，至少包括：姓名、手机、电子信箱、邮寄地址等。</w:t>
      </w:r>
    </w:p>
    <w:p w14:paraId="0B0B781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20.2对不符合前文第20.1条规定的质疑，</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代理机构将按照下列规定进行处理：</w:t>
      </w:r>
    </w:p>
    <w:p w14:paraId="375AED6B">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20.2.1超过质疑时效提交的或者质疑人不是直接参与所质疑项目</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活动的供应商，书面告知质疑人其质疑不成立的原因和理由。</w:t>
      </w:r>
    </w:p>
    <w:p w14:paraId="0999351B">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20.2.2质疑函内容不符合规定的，告知质疑人修改、补充后在政府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法及实施条例规定的时效内重新提交质疑函原件。质疑人拒不修改或补充的，则</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代理机构应当在质疑答复期内书面告知对方质疑不成立的原因和理由。</w:t>
      </w:r>
    </w:p>
    <w:p w14:paraId="09396B48">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20.2.3质疑人修改、补充质疑函超过质疑时效提交的按20.2.1款处理。供应商提交质疑函时，要认真阅读本章第20条关于质疑的相关规定，以免内容或资料不齐，需要修改补充而延误时间。</w:t>
      </w:r>
    </w:p>
    <w:p w14:paraId="7EB05CC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20.3对符合前文第20.1条规定的质疑，</w:t>
      </w:r>
      <w:r>
        <w:rPr>
          <w:rFonts w:hint="eastAsia" w:asciiTheme="minorEastAsia" w:hAnsiTheme="minorEastAsia" w:eastAsiaTheme="minorEastAsia" w:cstheme="minorEastAsia"/>
          <w:color w:val="auto"/>
          <w:spacing w:val="0"/>
          <w:sz w:val="24"/>
          <w:szCs w:val="24"/>
          <w:highlight w:val="none"/>
        </w:rPr>
        <w:t>采购人</w:t>
      </w:r>
      <w:r>
        <w:rPr>
          <w:rFonts w:hint="eastAsia" w:asciiTheme="minorEastAsia" w:hAnsiTheme="minorEastAsia" w:eastAsiaTheme="minorEastAsia" w:cstheme="minorEastAsia"/>
          <w:color w:val="auto"/>
          <w:highlight w:val="none"/>
        </w:rPr>
        <w:t>或</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代理机构将按照政府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法及实施条例的有关规定进行答复。</w:t>
      </w:r>
    </w:p>
    <w:p w14:paraId="611A33FB">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21.投诉</w:t>
      </w:r>
    </w:p>
    <w:p w14:paraId="3E4B647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21.1若对质疑答复不满意或质疑答复未在答复期限内作出，质疑人可在答复期限届满之日起15个工作日内向磋商文件中载明的监督管理部门投诉。</w:t>
      </w:r>
    </w:p>
    <w:p w14:paraId="0EA864F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21.2投诉应有明确的请求和必要的证明材料，投诉的事项不得超出已质疑事项的范围。</w:t>
      </w:r>
    </w:p>
    <w:p w14:paraId="5B49B3C3">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七、有关信息公告和监督部门 </w:t>
      </w:r>
    </w:p>
    <w:p w14:paraId="50390671">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22.政府</w:t>
      </w:r>
      <w:r>
        <w:rPr>
          <w:rFonts w:hint="eastAsia" w:asciiTheme="minorEastAsia" w:hAnsiTheme="minorEastAsia" w:eastAsiaTheme="minorEastAsia" w:cstheme="minorEastAsia"/>
          <w:color w:val="auto"/>
          <w:spacing w:val="0"/>
          <w:sz w:val="24"/>
          <w:szCs w:val="24"/>
          <w:highlight w:val="none"/>
        </w:rPr>
        <w:t>采购</w:t>
      </w:r>
      <w:r>
        <w:rPr>
          <w:rStyle w:val="19"/>
          <w:rFonts w:hint="eastAsia" w:asciiTheme="minorEastAsia" w:hAnsiTheme="minorEastAsia" w:eastAsiaTheme="minorEastAsia" w:cstheme="minorEastAsia"/>
          <w:color w:val="auto"/>
          <w:highlight w:val="none"/>
        </w:rPr>
        <w:t>信息公告媒体</w:t>
      </w:r>
    </w:p>
    <w:p w14:paraId="5A11DBC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22.1本项目的有关信息，包括但不限于</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公告、更正公告(若有)、磋商文件、磋商文件的澄清或修改(若有)、成交公告、终止公告(若有)、废标公告(若有)等都将在磋商文件载明的指定媒体发布。潜在供应商或供应商务必随时关注，以免遗漏。</w:t>
      </w:r>
    </w:p>
    <w:p w14:paraId="0421679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22.2信息公告指定媒体：详见竞争性磋商须知前附表第</w:t>
      </w:r>
      <w:r>
        <w:rPr>
          <w:rFonts w:hint="eastAsia" w:asciiTheme="minorEastAsia" w:hAnsiTheme="minorEastAsia" w:eastAsiaTheme="minorEastAsia" w:cstheme="minorEastAsia"/>
          <w:color w:val="auto"/>
          <w:highlight w:val="none"/>
          <w:u w:val="single"/>
        </w:rPr>
        <w:t>11</w:t>
      </w:r>
      <w:r>
        <w:rPr>
          <w:rFonts w:hint="eastAsia" w:asciiTheme="minorEastAsia" w:hAnsiTheme="minorEastAsia" w:eastAsiaTheme="minorEastAsia" w:cstheme="minorEastAsia"/>
          <w:color w:val="auto"/>
          <w:highlight w:val="none"/>
        </w:rPr>
        <w:t>项。</w:t>
      </w:r>
    </w:p>
    <w:p w14:paraId="179583E1">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23.监督管理部门</w:t>
      </w:r>
    </w:p>
    <w:p w14:paraId="0F04A68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23.1磋商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活动的监督管理部门详见竞争性磋商须知前附表第</w:t>
      </w:r>
      <w:r>
        <w:rPr>
          <w:rFonts w:hint="eastAsia" w:asciiTheme="minorEastAsia" w:hAnsiTheme="minorEastAsia" w:eastAsiaTheme="minorEastAsia" w:cstheme="minorEastAsia"/>
          <w:color w:val="auto"/>
          <w:highlight w:val="none"/>
          <w:u w:val="single"/>
        </w:rPr>
        <w:t>12</w:t>
      </w:r>
      <w:r>
        <w:rPr>
          <w:rFonts w:hint="eastAsia" w:asciiTheme="minorEastAsia" w:hAnsiTheme="minorEastAsia" w:eastAsiaTheme="minorEastAsia" w:cstheme="minorEastAsia"/>
          <w:color w:val="auto"/>
          <w:highlight w:val="none"/>
        </w:rPr>
        <w:t>项。</w:t>
      </w:r>
      <w:r>
        <w:rPr>
          <w:rStyle w:val="19"/>
          <w:rFonts w:hint="eastAsia" w:asciiTheme="minorEastAsia" w:hAnsiTheme="minorEastAsia" w:eastAsiaTheme="minorEastAsia" w:cstheme="minorEastAsia"/>
          <w:color w:val="auto"/>
          <w:highlight w:val="none"/>
        </w:rPr>
        <w:t> </w:t>
      </w:r>
    </w:p>
    <w:p w14:paraId="0C2206D9">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八、根据采购项目特点或政策需要补充的其他内容</w:t>
      </w:r>
    </w:p>
    <w:p w14:paraId="4537991B">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24.履约保证金</w:t>
      </w:r>
    </w:p>
    <w:p w14:paraId="78DD1729">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24.1</w:t>
      </w:r>
      <w:r>
        <w:rPr>
          <w:rFonts w:hint="eastAsia" w:asciiTheme="minorEastAsia" w:hAnsiTheme="minorEastAsia" w:eastAsiaTheme="minorEastAsia" w:cstheme="minorEastAsia"/>
          <w:color w:val="auto"/>
          <w:spacing w:val="0"/>
          <w:sz w:val="24"/>
          <w:szCs w:val="24"/>
          <w:highlight w:val="none"/>
        </w:rPr>
        <w:t>采购人</w:t>
      </w:r>
      <w:r>
        <w:rPr>
          <w:rFonts w:hint="eastAsia" w:asciiTheme="minorEastAsia" w:hAnsiTheme="minorEastAsia" w:eastAsiaTheme="minorEastAsia" w:cstheme="minorEastAsia"/>
          <w:color w:val="auto"/>
          <w:highlight w:val="none"/>
        </w:rPr>
        <w:t>可以根据项目特点和需要，确定是否要求成交人在合同签订前，按照磋商文件规定的时间、形式、金额提交履约保证金，履约保证金的数额不超过</w:t>
      </w:r>
      <w:r>
        <w:rPr>
          <w:rFonts w:hint="eastAsia" w:asciiTheme="minorEastAsia" w:hAnsiTheme="minorEastAsia" w:eastAsiaTheme="minorEastAsia" w:cstheme="minorEastAsia"/>
          <w:color w:val="auto"/>
          <w:highlight w:val="none"/>
          <w:lang w:eastAsia="zh-CN"/>
        </w:rPr>
        <w:t>成交</w:t>
      </w:r>
      <w:r>
        <w:rPr>
          <w:rFonts w:hint="eastAsia" w:asciiTheme="minorEastAsia" w:hAnsiTheme="minorEastAsia" w:eastAsiaTheme="minorEastAsia" w:cstheme="minorEastAsia"/>
          <w:color w:val="auto"/>
          <w:highlight w:val="none"/>
        </w:rPr>
        <w:t>合同金额的10%，具体详见磋商须知前附表第</w:t>
      </w:r>
      <w:r>
        <w:rPr>
          <w:rFonts w:hint="eastAsia" w:asciiTheme="minorEastAsia" w:hAnsiTheme="minorEastAsia" w:eastAsiaTheme="minorEastAsia" w:cstheme="minorEastAsia"/>
          <w:color w:val="auto"/>
          <w:highlight w:val="none"/>
          <w:u w:val="single"/>
        </w:rPr>
        <w:t>13</w:t>
      </w:r>
      <w:r>
        <w:rPr>
          <w:rFonts w:hint="eastAsia" w:asciiTheme="minorEastAsia" w:hAnsiTheme="minorEastAsia" w:eastAsiaTheme="minorEastAsia" w:cstheme="minorEastAsia"/>
          <w:color w:val="auto"/>
          <w:highlight w:val="none"/>
        </w:rPr>
        <w:t>项规定。</w:t>
      </w:r>
    </w:p>
    <w:p w14:paraId="109FF05F">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24.2磋商文件要求在合同签订前提交履约保证金，如果成交人无故拖延或者拒不提交履约保证金的，则视为成交人拒绝与</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人签订合同，该成交人将承担违法行为的法律责任。</w:t>
      </w:r>
    </w:p>
    <w:p w14:paraId="13BB0E65">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25.其他新增内容：</w:t>
      </w:r>
    </w:p>
    <w:p w14:paraId="7C3561A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根据</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项目特点或政策需要补充的其他新增内容详见竞争性磋商须知前附表第</w:t>
      </w:r>
      <w:r>
        <w:rPr>
          <w:rFonts w:hint="eastAsia" w:asciiTheme="minorEastAsia" w:hAnsiTheme="minorEastAsia" w:eastAsiaTheme="minorEastAsia" w:cstheme="minorEastAsia"/>
          <w:color w:val="auto"/>
          <w:highlight w:val="none"/>
          <w:u w:val="single"/>
        </w:rPr>
        <w:t>14</w:t>
      </w:r>
      <w:r>
        <w:rPr>
          <w:rFonts w:hint="eastAsia" w:asciiTheme="minorEastAsia" w:hAnsiTheme="minorEastAsia" w:eastAsiaTheme="minorEastAsia" w:cstheme="minorEastAsia"/>
          <w:color w:val="auto"/>
          <w:highlight w:val="none"/>
        </w:rPr>
        <w:t>项。</w:t>
      </w:r>
    </w:p>
    <w:p w14:paraId="2FCCD764">
      <w:pPr>
        <w:pStyle w:val="13"/>
        <w:widowControl/>
        <w:spacing w:before="60" w:beforeAutospacing="0" w:after="60" w:afterAutospacing="0"/>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28"/>
          <w:szCs w:val="28"/>
          <w:highlight w:val="none"/>
        </w:rPr>
        <w:br w:type="page"/>
      </w:r>
      <w:r>
        <w:rPr>
          <w:rStyle w:val="19"/>
          <w:rFonts w:hint="eastAsia" w:asciiTheme="minorEastAsia" w:hAnsiTheme="minorEastAsia" w:eastAsiaTheme="minorEastAsia" w:cstheme="minorEastAsia"/>
          <w:color w:val="auto"/>
          <w:sz w:val="28"/>
          <w:szCs w:val="28"/>
          <w:highlight w:val="none"/>
        </w:rPr>
        <w:t>第三章  采购内容及要求</w:t>
      </w:r>
    </w:p>
    <w:p w14:paraId="484EFF56">
      <w:pPr>
        <w:pStyle w:val="13"/>
        <w:widowControl/>
        <w:spacing w:before="60" w:beforeAutospacing="0" w:after="60" w:afterAutospacing="0" w:line="348" w:lineRule="atLeast"/>
        <w:rPr>
          <w:rFonts w:hint="eastAsia"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spacing w:val="0"/>
          <w:sz w:val="24"/>
          <w:szCs w:val="24"/>
          <w:highlight w:val="none"/>
          <w:lang w:val="en-US" w:eastAsia="zh-CN"/>
        </w:rPr>
        <w:t>一、</w:t>
      </w:r>
      <w:r>
        <w:rPr>
          <w:rFonts w:hint="eastAsia" w:asciiTheme="minorEastAsia" w:hAnsiTheme="minorEastAsia" w:eastAsiaTheme="minorEastAsia" w:cstheme="minorEastAsia"/>
          <w:b/>
          <w:bCs/>
          <w:color w:val="auto"/>
          <w:spacing w:val="0"/>
          <w:sz w:val="24"/>
          <w:szCs w:val="24"/>
          <w:highlight w:val="none"/>
        </w:rPr>
        <w:t>(根据本项目</w:t>
      </w:r>
      <w:r>
        <w:rPr>
          <w:rFonts w:hint="eastAsia" w:asciiTheme="minorEastAsia" w:hAnsiTheme="minorEastAsia" w:eastAsiaTheme="minorEastAsia" w:cstheme="minorEastAsia"/>
          <w:b/>
          <w:bCs/>
          <w:color w:val="auto"/>
          <w:highlight w:val="none"/>
        </w:rPr>
        <w:t>实际情况，填写“</w:t>
      </w:r>
      <w:r>
        <w:rPr>
          <w:rFonts w:hint="eastAsia" w:asciiTheme="minorEastAsia" w:hAnsiTheme="minorEastAsia" w:eastAsiaTheme="minorEastAsia" w:cstheme="minorEastAsia"/>
          <w:b/>
          <w:bCs/>
          <w:color w:val="auto"/>
          <w:spacing w:val="0"/>
          <w:sz w:val="24"/>
          <w:szCs w:val="24"/>
          <w:highlight w:val="none"/>
        </w:rPr>
        <w:t>采购</w:t>
      </w:r>
      <w:r>
        <w:rPr>
          <w:rFonts w:hint="eastAsia" w:asciiTheme="minorEastAsia" w:hAnsiTheme="minorEastAsia" w:eastAsiaTheme="minorEastAsia" w:cstheme="minorEastAsia"/>
          <w:b/>
          <w:bCs/>
          <w:color w:val="auto"/>
          <w:highlight w:val="none"/>
        </w:rPr>
        <w:t>标的”或“项目概况”)</w:t>
      </w:r>
    </w:p>
    <w:p w14:paraId="6BE40B25">
      <w:pPr>
        <w:pStyle w:val="28"/>
        <w:keepNext w:val="0"/>
        <w:keepLines w:val="0"/>
        <w:pageBreakBefore w:val="0"/>
        <w:widowControl w:val="0"/>
        <w:kinsoku/>
        <w:wordWrap/>
        <w:overflowPunct/>
        <w:topLinePunct w:val="0"/>
        <w:autoSpaceDE/>
        <w:autoSpaceDN/>
        <w:bidi w:val="0"/>
        <w:adjustRightInd/>
        <w:snapToGrid/>
        <w:spacing w:before="0" w:beforeAutospacing="0" w:after="0" w:afterAutospacing="0"/>
        <w:ind w:firstLine="480" w:firstLineChars="200"/>
        <w:jc w:val="both"/>
        <w:textAlignment w:val="auto"/>
        <w:outlineLvl w:val="9"/>
        <w:rPr>
          <w:rFonts w:hint="eastAsia" w:ascii="宋体" w:hAnsi="宋体" w:eastAsia="宋体" w:cs="宋体"/>
          <w:color w:val="auto"/>
        </w:rPr>
      </w:pPr>
      <w:r>
        <w:rPr>
          <w:rFonts w:hint="eastAsia" w:ascii="宋体" w:hAnsi="宋体" w:eastAsia="宋体" w:cs="宋体"/>
          <w:color w:val="auto"/>
          <w:lang w:val="en-US" w:eastAsia="zh-CN"/>
        </w:rPr>
        <w:t>1.</w:t>
      </w:r>
      <w:r>
        <w:rPr>
          <w:rFonts w:hint="eastAsia" w:ascii="宋体" w:hAnsi="宋体" w:eastAsia="宋体" w:cs="宋体"/>
          <w:color w:val="auto"/>
        </w:rPr>
        <w:t>当前高校毕业生规模持续高位，就业市场竞争加剧，高校就业育人工作面临较大压力。课堂教学作为高校就业指导的主阵地，是学生建立职业认知、掌握求职技能的基础载体，但传统第一课堂育人模式存在显著短板，难以适配新时代学生就业成长需求。一方面，课程内容同质化严重，通用化教学内容无法匹配学生差异化、个性化的职业发展诉求，精准育人效果不足；另一方面，课程受场地、人数、学时限制，以理论知识普及为主，缺乏场景化实操训练，学生难以学以致用。同时，单一固化的授课形式互动性、趣味性不足，无法调动学生主观能动性，导致学生参与度与获得感偏低，就业指导育人实效受限。</w:t>
      </w:r>
    </w:p>
    <w:p w14:paraId="7D6F4CB5">
      <w:pPr>
        <w:pStyle w:val="28"/>
        <w:keepNext w:val="0"/>
        <w:keepLines w:val="0"/>
        <w:pageBreakBefore w:val="0"/>
        <w:widowControl w:val="0"/>
        <w:kinsoku/>
        <w:wordWrap/>
        <w:overflowPunct/>
        <w:topLinePunct w:val="0"/>
        <w:autoSpaceDE/>
        <w:autoSpaceDN/>
        <w:bidi w:val="0"/>
        <w:adjustRightInd/>
        <w:snapToGrid/>
        <w:spacing w:before="0" w:beforeAutospacing="0" w:after="0" w:afterAutospacing="0"/>
        <w:ind w:firstLine="480" w:firstLineChars="200"/>
        <w:jc w:val="both"/>
        <w:textAlignment w:val="auto"/>
        <w:outlineLvl w:val="9"/>
        <w:rPr>
          <w:rFonts w:hint="eastAsia" w:ascii="宋体" w:hAnsi="宋体" w:eastAsia="宋体" w:cs="宋体"/>
          <w:color w:val="auto"/>
        </w:rPr>
      </w:pPr>
      <w:r>
        <w:rPr>
          <w:rFonts w:hint="eastAsia" w:ascii="宋体" w:hAnsi="宋体" w:eastAsia="宋体" w:cs="宋体"/>
          <w:color w:val="auto"/>
          <w:lang w:val="en-US" w:eastAsia="zh-CN"/>
        </w:rPr>
        <w:t>2.</w:t>
      </w:r>
      <w:r>
        <w:rPr>
          <w:rFonts w:hint="eastAsia" w:ascii="宋体" w:hAnsi="宋体" w:eastAsia="宋体" w:cs="宋体"/>
          <w:color w:val="auto"/>
        </w:rPr>
        <w:t>相比于传统的职业生涯规划和就业指导课程教育，生涯体验周</w:t>
      </w:r>
      <w:r>
        <w:rPr>
          <w:rFonts w:hint="eastAsia" w:ascii="宋体" w:hAnsi="宋体" w:eastAsia="宋体" w:cs="宋体"/>
          <w:color w:val="auto"/>
          <w:lang w:eastAsia="zh-CN"/>
        </w:rPr>
        <w:t>和</w:t>
      </w:r>
      <w:r>
        <w:rPr>
          <w:rFonts w:hint="eastAsia" w:ascii="宋体" w:hAnsi="宋体" w:eastAsia="宋体" w:cs="宋体"/>
          <w:color w:val="auto"/>
        </w:rPr>
        <w:t>就业体验周作为创新型第二课堂生涯教育形式，可有效衔接、补齐第一课堂短板，构建“理论+实景”的立体化就业育人体系。该活动育人优势突出：一是指导时间灵活、可实现就业教育前置，紧抓学生职业启蒙关键阶段，提前培育学生就业与规划意识；二是依托开放沉浸式的体验形式，丰富校园就业育人场景，弥补传统课堂实操不足的问题；三是融入专业测评数据体系，可生成学生个人专属报告，以数据赋能精准就业指导与育人决策；四是兼顾就业能力与综合素质培育，全方位助力学生职业定位、能力提升与潜力挖掘，完善高校全员全程育人体系；五是深度对接大学生职业生涯规划大赛，以活动赋能赛事备赛，实现“以活促学、赛活融合”，切实提升学生职业发展核心竞争力。</w:t>
      </w:r>
    </w:p>
    <w:p w14:paraId="09C326E5">
      <w:pPr>
        <w:pStyle w:val="28"/>
        <w:keepNext w:val="0"/>
        <w:keepLines w:val="0"/>
        <w:pageBreakBefore w:val="0"/>
        <w:widowControl w:val="0"/>
        <w:kinsoku/>
        <w:wordWrap/>
        <w:overflowPunct/>
        <w:topLinePunct w:val="0"/>
        <w:autoSpaceDE/>
        <w:autoSpaceDN/>
        <w:bidi w:val="0"/>
        <w:adjustRightInd/>
        <w:snapToGrid/>
        <w:spacing w:before="0" w:beforeAutospacing="0" w:after="0" w:afterAutospacing="0"/>
        <w:ind w:firstLine="480" w:firstLineChars="200"/>
        <w:jc w:val="both"/>
        <w:textAlignment w:val="auto"/>
        <w:outlineLvl w:val="9"/>
        <w:rPr>
          <w:rFonts w:hint="eastAsia" w:ascii="宋体" w:hAnsi="宋体" w:eastAsia="宋体" w:cs="宋体"/>
          <w:color w:val="auto"/>
          <w:lang w:eastAsia="zh-CN"/>
        </w:rPr>
      </w:pPr>
      <w:r>
        <w:rPr>
          <w:rFonts w:hint="eastAsia" w:eastAsia="宋体" w:cs="宋体"/>
          <w:color w:val="auto"/>
          <w:lang w:val="en-US" w:eastAsia="zh-CN"/>
        </w:rPr>
        <w:t>3</w:t>
      </w:r>
      <w:r>
        <w:rPr>
          <w:rFonts w:hint="eastAsia" w:ascii="宋体" w:hAnsi="宋体" w:eastAsia="宋体" w:cs="宋体"/>
          <w:color w:val="auto"/>
        </w:rPr>
        <w:t>.</w:t>
      </w:r>
      <w:r>
        <w:rPr>
          <w:rFonts w:hint="eastAsia" w:ascii="宋体" w:hAnsi="宋体" w:eastAsia="宋体" w:cs="宋体"/>
          <w:color w:val="auto"/>
          <w:lang w:eastAsia="zh-CN"/>
        </w:rPr>
        <w:t>合作形式</w:t>
      </w:r>
    </w:p>
    <w:p w14:paraId="0C33C769">
      <w:pPr>
        <w:pStyle w:val="28"/>
        <w:keepNext w:val="0"/>
        <w:keepLines w:val="0"/>
        <w:pageBreakBefore w:val="0"/>
        <w:widowControl w:val="0"/>
        <w:kinsoku/>
        <w:wordWrap/>
        <w:overflowPunct/>
        <w:topLinePunct w:val="0"/>
        <w:autoSpaceDE/>
        <w:autoSpaceDN/>
        <w:bidi w:val="0"/>
        <w:adjustRightInd/>
        <w:snapToGrid/>
        <w:spacing w:before="0" w:beforeAutospacing="0" w:after="0" w:afterAutospacing="0"/>
        <w:ind w:firstLine="480" w:firstLineChars="200"/>
        <w:jc w:val="both"/>
        <w:textAlignment w:val="auto"/>
        <w:outlineLvl w:val="9"/>
        <w:rPr>
          <w:rFonts w:hint="eastAsia" w:ascii="宋体" w:hAnsi="宋体" w:eastAsia="宋体" w:cs="宋体"/>
          <w:color w:val="auto"/>
        </w:rPr>
      </w:pPr>
      <w:r>
        <w:rPr>
          <w:rFonts w:hint="eastAsia" w:ascii="宋体" w:hAnsi="宋体" w:eastAsia="宋体" w:cs="宋体"/>
          <w:color w:val="auto"/>
        </w:rPr>
        <w:t>本项目为全包合作形式，</w:t>
      </w:r>
      <w:r>
        <w:rPr>
          <w:rFonts w:hint="eastAsia" w:ascii="宋体" w:hAnsi="宋体" w:eastAsia="宋体" w:cs="宋体"/>
          <w:color w:val="auto"/>
          <w:lang w:eastAsia="zh-CN"/>
        </w:rPr>
        <w:t>供应商</w:t>
      </w:r>
      <w:r>
        <w:rPr>
          <w:rFonts w:hint="eastAsia" w:ascii="宋体" w:hAnsi="宋体" w:eastAsia="宋体" w:cs="宋体"/>
          <w:color w:val="auto"/>
        </w:rPr>
        <w:t>需负责从方案设计到活动交付的全过程，包括但不限于：活动整体方案设计，所有活动物料的准备与制作，现场布展与撤展，活动全程现场执行及专业督导，志愿者系统培训，线上测评系统与AI大数据平台技术保障，学生测评报告生成，以及活动结束后的整体调研报告与专业解决方案提供。</w:t>
      </w:r>
    </w:p>
    <w:p w14:paraId="3E1D3ACC">
      <w:pPr>
        <w:pStyle w:val="28"/>
        <w:keepNext w:val="0"/>
        <w:keepLines w:val="0"/>
        <w:pageBreakBefore w:val="0"/>
        <w:widowControl w:val="0"/>
        <w:kinsoku/>
        <w:wordWrap/>
        <w:overflowPunct/>
        <w:topLinePunct w:val="0"/>
        <w:autoSpaceDE/>
        <w:autoSpaceDN/>
        <w:bidi w:val="0"/>
        <w:adjustRightInd/>
        <w:snapToGrid/>
        <w:spacing w:before="0" w:beforeAutospacing="0" w:after="0" w:afterAutospacing="0"/>
        <w:ind w:firstLine="480" w:firstLineChars="200"/>
        <w:jc w:val="both"/>
        <w:textAlignment w:val="auto"/>
        <w:outlineLvl w:val="9"/>
        <w:rPr>
          <w:rFonts w:hint="eastAsia" w:ascii="宋体" w:hAnsi="宋体" w:eastAsia="宋体" w:cs="宋体"/>
          <w:color w:val="auto"/>
          <w:lang w:val="en-US" w:eastAsia="zh-CN"/>
        </w:rPr>
      </w:pPr>
      <w:r>
        <w:rPr>
          <w:rFonts w:hint="eastAsia" w:eastAsia="宋体" w:cs="宋体"/>
          <w:color w:val="auto"/>
          <w:lang w:val="en-US" w:eastAsia="zh-CN"/>
        </w:rPr>
        <w:t>4</w:t>
      </w:r>
      <w:r>
        <w:rPr>
          <w:rFonts w:hint="eastAsia" w:ascii="宋体" w:hAnsi="宋体" w:eastAsia="宋体" w:cs="宋体"/>
          <w:color w:val="auto"/>
          <w:lang w:val="en-US" w:eastAsia="zh-CN"/>
        </w:rPr>
        <w:t>.项目清单</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0"/>
        <w:gridCol w:w="2821"/>
        <w:gridCol w:w="4987"/>
      </w:tblGrid>
      <w:tr w14:paraId="5A4182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tcPr>
          <w:p w14:paraId="63A36580">
            <w:pPr>
              <w:spacing w:before="40" w:after="40" w:line="400" w:lineRule="exact"/>
              <w:jc w:val="center"/>
              <w:rPr>
                <w:rFonts w:hint="eastAsia" w:ascii="宋体" w:hAnsi="宋体" w:eastAsia="宋体" w:cs="宋体"/>
                <w:color w:val="auto"/>
                <w:sz w:val="24"/>
                <w:szCs w:val="24"/>
              </w:rPr>
            </w:pPr>
            <w:r>
              <w:rPr>
                <w:rFonts w:hint="eastAsia" w:ascii="宋体" w:hAnsi="宋体" w:eastAsia="宋体" w:cs="宋体"/>
                <w:b/>
                <w:color w:val="auto"/>
                <w:sz w:val="24"/>
                <w:szCs w:val="24"/>
              </w:rPr>
              <w:t>序号</w:t>
            </w:r>
          </w:p>
        </w:tc>
        <w:tc>
          <w:tcPr>
            <w:tcW w:w="2821" w:type="dxa"/>
          </w:tcPr>
          <w:p w14:paraId="081E71E3">
            <w:pPr>
              <w:spacing w:before="40" w:after="40" w:line="400" w:lineRule="exact"/>
              <w:jc w:val="center"/>
              <w:rPr>
                <w:rFonts w:hint="eastAsia" w:ascii="宋体" w:hAnsi="宋体" w:eastAsia="宋体" w:cs="宋体"/>
                <w:color w:val="auto"/>
                <w:sz w:val="24"/>
                <w:szCs w:val="24"/>
              </w:rPr>
            </w:pPr>
            <w:r>
              <w:rPr>
                <w:rFonts w:hint="eastAsia" w:ascii="宋体" w:hAnsi="宋体" w:eastAsia="宋体" w:cs="宋体"/>
                <w:b/>
                <w:color w:val="auto"/>
                <w:sz w:val="24"/>
                <w:szCs w:val="24"/>
              </w:rPr>
              <w:t>明细清单</w:t>
            </w:r>
          </w:p>
        </w:tc>
        <w:tc>
          <w:tcPr>
            <w:tcW w:w="4987" w:type="dxa"/>
          </w:tcPr>
          <w:p w14:paraId="6F84F786">
            <w:pPr>
              <w:spacing w:before="40" w:after="40" w:line="400" w:lineRule="exact"/>
              <w:jc w:val="center"/>
              <w:rPr>
                <w:rFonts w:hint="eastAsia" w:ascii="宋体" w:hAnsi="宋体" w:eastAsia="宋体" w:cs="宋体"/>
                <w:color w:val="auto"/>
                <w:sz w:val="24"/>
                <w:szCs w:val="24"/>
              </w:rPr>
            </w:pPr>
            <w:r>
              <w:rPr>
                <w:rFonts w:hint="eastAsia" w:ascii="宋体" w:hAnsi="宋体" w:eastAsia="宋体" w:cs="宋体"/>
                <w:b/>
                <w:color w:val="auto"/>
                <w:sz w:val="24"/>
                <w:szCs w:val="24"/>
              </w:rPr>
              <w:t>使用范围</w:t>
            </w:r>
          </w:p>
        </w:tc>
      </w:tr>
      <w:tr w14:paraId="5F7A6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tcPr>
          <w:p w14:paraId="4E588BF0">
            <w:pPr>
              <w:spacing w:before="40" w:after="40" w:line="400" w:lineRule="exact"/>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1</w:t>
            </w:r>
          </w:p>
        </w:tc>
        <w:tc>
          <w:tcPr>
            <w:tcW w:w="2821" w:type="dxa"/>
          </w:tcPr>
          <w:p w14:paraId="7C1852ED">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项目整体设计方案</w:t>
            </w:r>
          </w:p>
        </w:tc>
        <w:tc>
          <w:tcPr>
            <w:tcW w:w="4987" w:type="dxa"/>
          </w:tcPr>
          <w:p w14:paraId="206279AA">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整体活动设计方案</w:t>
            </w:r>
          </w:p>
        </w:tc>
      </w:tr>
      <w:tr w14:paraId="4EB2D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tcPr>
          <w:p w14:paraId="70033C18">
            <w:pPr>
              <w:spacing w:before="40" w:after="40" w:line="400" w:lineRule="exact"/>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2</w:t>
            </w:r>
          </w:p>
        </w:tc>
        <w:tc>
          <w:tcPr>
            <w:tcW w:w="2821" w:type="dxa"/>
          </w:tcPr>
          <w:p w14:paraId="6604E677">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主视觉背景墙及辅助展板</w:t>
            </w:r>
          </w:p>
        </w:tc>
        <w:tc>
          <w:tcPr>
            <w:tcW w:w="4987" w:type="dxa"/>
          </w:tcPr>
          <w:p w14:paraId="05264E8A">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现场活动综述、主视觉</w:t>
            </w:r>
          </w:p>
        </w:tc>
      </w:tr>
      <w:tr w14:paraId="3685F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tcPr>
          <w:p w14:paraId="19217BB7">
            <w:pPr>
              <w:spacing w:before="40" w:after="40" w:line="400" w:lineRule="exact"/>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3</w:t>
            </w:r>
          </w:p>
        </w:tc>
        <w:tc>
          <w:tcPr>
            <w:tcW w:w="2821" w:type="dxa"/>
          </w:tcPr>
          <w:p w14:paraId="68C679E8">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开幕式音响设备</w:t>
            </w:r>
          </w:p>
        </w:tc>
        <w:tc>
          <w:tcPr>
            <w:tcW w:w="4987" w:type="dxa"/>
          </w:tcPr>
          <w:p w14:paraId="5D9F5F3E">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活动开幕式音响设备的租赁</w:t>
            </w:r>
          </w:p>
        </w:tc>
      </w:tr>
      <w:tr w14:paraId="06D3A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tcPr>
          <w:p w14:paraId="0B99CDDF">
            <w:pPr>
              <w:spacing w:before="40" w:after="40" w:line="400" w:lineRule="exact"/>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4</w:t>
            </w:r>
          </w:p>
        </w:tc>
        <w:tc>
          <w:tcPr>
            <w:tcW w:w="2821" w:type="dxa"/>
          </w:tcPr>
          <w:p w14:paraId="4AFAD61A">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活动展板</w:t>
            </w:r>
          </w:p>
        </w:tc>
        <w:tc>
          <w:tcPr>
            <w:tcW w:w="4987" w:type="dxa"/>
          </w:tcPr>
          <w:p w14:paraId="145319D3">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各活动展位需要的主题展板</w:t>
            </w:r>
          </w:p>
        </w:tc>
      </w:tr>
      <w:tr w14:paraId="4EB8A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tcPr>
          <w:p w14:paraId="5606F2FA">
            <w:pPr>
              <w:spacing w:before="40" w:after="40" w:line="400" w:lineRule="exact"/>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5</w:t>
            </w:r>
          </w:p>
        </w:tc>
        <w:tc>
          <w:tcPr>
            <w:tcW w:w="2821" w:type="dxa"/>
          </w:tcPr>
          <w:p w14:paraId="3439A6FA">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地贴</w:t>
            </w:r>
          </w:p>
        </w:tc>
        <w:tc>
          <w:tcPr>
            <w:tcW w:w="4987" w:type="dxa"/>
          </w:tcPr>
          <w:p w14:paraId="1FCC2A72">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活动现场的指引地贴及活动主题配套地贴</w:t>
            </w:r>
          </w:p>
        </w:tc>
      </w:tr>
      <w:tr w14:paraId="7DB47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tcPr>
          <w:p w14:paraId="3BBF7C53">
            <w:pPr>
              <w:spacing w:before="40" w:after="40" w:line="400" w:lineRule="exact"/>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6</w:t>
            </w:r>
          </w:p>
        </w:tc>
        <w:tc>
          <w:tcPr>
            <w:tcW w:w="2821" w:type="dxa"/>
          </w:tcPr>
          <w:p w14:paraId="5642F806">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宣传材料电子版</w:t>
            </w:r>
          </w:p>
        </w:tc>
        <w:tc>
          <w:tcPr>
            <w:tcW w:w="4987" w:type="dxa"/>
          </w:tcPr>
          <w:p w14:paraId="29107D53">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海报、展架、易拉宝、条幅</w:t>
            </w:r>
          </w:p>
        </w:tc>
      </w:tr>
      <w:tr w14:paraId="4A773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tcPr>
          <w:p w14:paraId="710D0506">
            <w:pPr>
              <w:spacing w:before="40" w:after="40" w:line="400" w:lineRule="exact"/>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7</w:t>
            </w:r>
          </w:p>
        </w:tc>
        <w:tc>
          <w:tcPr>
            <w:tcW w:w="2821" w:type="dxa"/>
          </w:tcPr>
          <w:p w14:paraId="15E123D7">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手机端应用、线上测评、专业的各关卡实物道具</w:t>
            </w:r>
          </w:p>
        </w:tc>
        <w:tc>
          <w:tcPr>
            <w:tcW w:w="4987" w:type="dxa"/>
          </w:tcPr>
          <w:p w14:paraId="56947802">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各活动展位配套的线上线下道具</w:t>
            </w:r>
          </w:p>
        </w:tc>
      </w:tr>
      <w:tr w14:paraId="163612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tcPr>
          <w:p w14:paraId="257777FE">
            <w:pPr>
              <w:spacing w:before="40" w:after="40" w:line="400" w:lineRule="exact"/>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8</w:t>
            </w:r>
          </w:p>
        </w:tc>
        <w:tc>
          <w:tcPr>
            <w:tcW w:w="2821" w:type="dxa"/>
          </w:tcPr>
          <w:p w14:paraId="4F594D06">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活动工具包</w:t>
            </w:r>
          </w:p>
        </w:tc>
        <w:tc>
          <w:tcPr>
            <w:tcW w:w="4987" w:type="dxa"/>
          </w:tcPr>
          <w:p w14:paraId="3C32E329">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活动章、印泥、工具卡、工具盒等</w:t>
            </w:r>
          </w:p>
        </w:tc>
      </w:tr>
      <w:tr w14:paraId="174FB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tcPr>
          <w:p w14:paraId="2EEAACED">
            <w:pPr>
              <w:spacing w:before="40" w:after="40" w:line="400" w:lineRule="exact"/>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9</w:t>
            </w:r>
          </w:p>
        </w:tc>
        <w:tc>
          <w:tcPr>
            <w:tcW w:w="2821" w:type="dxa"/>
          </w:tcPr>
          <w:p w14:paraId="0D159ECA">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活动手册</w:t>
            </w:r>
          </w:p>
        </w:tc>
        <w:tc>
          <w:tcPr>
            <w:tcW w:w="4987" w:type="dxa"/>
          </w:tcPr>
          <w:p w14:paraId="13B701CA">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学生领取活动折页参与活动</w:t>
            </w:r>
          </w:p>
        </w:tc>
      </w:tr>
      <w:tr w14:paraId="12971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tcPr>
          <w:p w14:paraId="3909F73A">
            <w:pPr>
              <w:spacing w:before="40" w:after="40" w:line="400" w:lineRule="exact"/>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10</w:t>
            </w:r>
          </w:p>
        </w:tc>
        <w:tc>
          <w:tcPr>
            <w:tcW w:w="2821" w:type="dxa"/>
          </w:tcPr>
          <w:p w14:paraId="6F32584F">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活动志愿者培训</w:t>
            </w:r>
          </w:p>
        </w:tc>
        <w:tc>
          <w:tcPr>
            <w:tcW w:w="4987" w:type="dxa"/>
          </w:tcPr>
          <w:p w14:paraId="548B079A">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活动需要</w:t>
            </w:r>
          </w:p>
        </w:tc>
      </w:tr>
      <w:tr w14:paraId="68F2E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tcPr>
          <w:p w14:paraId="4A67E985">
            <w:pPr>
              <w:spacing w:before="40" w:after="40" w:line="400" w:lineRule="exact"/>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11</w:t>
            </w:r>
          </w:p>
        </w:tc>
        <w:tc>
          <w:tcPr>
            <w:tcW w:w="2821" w:type="dxa"/>
          </w:tcPr>
          <w:p w14:paraId="7E56AFF5">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志愿者工作证</w:t>
            </w:r>
          </w:p>
        </w:tc>
        <w:tc>
          <w:tcPr>
            <w:tcW w:w="4987" w:type="dxa"/>
          </w:tcPr>
          <w:p w14:paraId="27458A72">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活动志愿者所需</w:t>
            </w:r>
          </w:p>
        </w:tc>
      </w:tr>
      <w:tr w14:paraId="2E3A2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tcPr>
          <w:p w14:paraId="4F6C7499">
            <w:pPr>
              <w:spacing w:before="40" w:after="40" w:line="400" w:lineRule="exact"/>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12</w:t>
            </w:r>
          </w:p>
        </w:tc>
        <w:tc>
          <w:tcPr>
            <w:tcW w:w="2821" w:type="dxa"/>
          </w:tcPr>
          <w:p w14:paraId="0FA97613">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活动现场执行及督导</w:t>
            </w:r>
          </w:p>
        </w:tc>
        <w:tc>
          <w:tcPr>
            <w:tcW w:w="4987" w:type="dxa"/>
          </w:tcPr>
          <w:p w14:paraId="706D055D">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活动负责人现场执行及督导</w:t>
            </w:r>
          </w:p>
        </w:tc>
      </w:tr>
      <w:tr w14:paraId="55F8F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tcPr>
          <w:p w14:paraId="726E7A74">
            <w:pPr>
              <w:spacing w:before="40" w:after="40" w:line="400" w:lineRule="exact"/>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13</w:t>
            </w:r>
          </w:p>
        </w:tc>
        <w:tc>
          <w:tcPr>
            <w:tcW w:w="2821" w:type="dxa"/>
          </w:tcPr>
          <w:p w14:paraId="77F4C50A">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活动奖品</w:t>
            </w:r>
          </w:p>
        </w:tc>
        <w:tc>
          <w:tcPr>
            <w:tcW w:w="4987" w:type="dxa"/>
          </w:tcPr>
          <w:p w14:paraId="4EFA398B">
            <w:pPr>
              <w:spacing w:before="40" w:after="40" w:line="400" w:lineRule="exact"/>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发放给参与活动学生的奖品</w:t>
            </w:r>
          </w:p>
        </w:tc>
      </w:tr>
    </w:tbl>
    <w:p w14:paraId="11D33AF6">
      <w:pPr>
        <w:pStyle w:val="42"/>
        <w:jc w:val="both"/>
        <w:outlineLvl w:val="2"/>
        <w:rPr>
          <w:rFonts w:hint="eastAsia" w:asciiTheme="minorEastAsia" w:hAnsiTheme="minorEastAsia" w:eastAsiaTheme="minorEastAsia" w:cstheme="minorEastAsia"/>
          <w:b/>
          <w:bCs/>
          <w:color w:val="auto"/>
          <w:spacing w:val="0"/>
          <w:sz w:val="24"/>
          <w:szCs w:val="24"/>
          <w:highlight w:val="none"/>
          <w:lang w:eastAsia="zh-CN"/>
        </w:rPr>
      </w:pPr>
      <w:r>
        <w:rPr>
          <w:rFonts w:hint="eastAsia" w:asciiTheme="minorEastAsia" w:hAnsiTheme="minorEastAsia" w:eastAsiaTheme="minorEastAsia" w:cstheme="minorEastAsia"/>
          <w:b/>
          <w:bCs/>
          <w:color w:val="auto"/>
          <w:spacing w:val="0"/>
          <w:sz w:val="24"/>
          <w:szCs w:val="24"/>
          <w:highlight w:val="none"/>
        </w:rPr>
        <w:t>二、技术要求（以</w:t>
      </w:r>
      <w:r>
        <w:rPr>
          <w:rFonts w:hint="eastAsia" w:asciiTheme="minorEastAsia" w:hAnsiTheme="minorEastAsia" w:eastAsiaTheme="minorEastAsia" w:cstheme="minorEastAsia"/>
          <w:b/>
          <w:bCs/>
          <w:color w:val="auto"/>
          <w:spacing w:val="0"/>
          <w:sz w:val="24"/>
          <w:szCs w:val="24"/>
          <w:highlight w:val="none"/>
          <w:lang w:val="en-US" w:eastAsia="zh-CN"/>
        </w:rPr>
        <w:t>下</w:t>
      </w:r>
      <w:r>
        <w:rPr>
          <w:rFonts w:hint="eastAsia" w:asciiTheme="minorEastAsia" w:hAnsiTheme="minorEastAsia" w:eastAsiaTheme="minorEastAsia" w:cstheme="minorEastAsia"/>
          <w:b/>
          <w:bCs/>
          <w:color w:val="auto"/>
          <w:spacing w:val="0"/>
          <w:sz w:val="24"/>
          <w:szCs w:val="24"/>
          <w:highlight w:val="none"/>
        </w:rPr>
        <w:t>内容为不允许负偏离的实质性要求）</w:t>
      </w:r>
    </w:p>
    <w:p w14:paraId="242E7277">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lang w:val="en-US" w:eastAsia="zh-CN"/>
        </w:rPr>
        <w:t>一</w:t>
      </w: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rPr>
        <w:t>实施要求</w:t>
      </w:r>
    </w:p>
    <w:p w14:paraId="024EE146">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eastAsia="宋体" w:cs="宋体"/>
          <w:b w:val="0"/>
          <w:color w:val="auto"/>
          <w:sz w:val="24"/>
          <w:szCs w:val="24"/>
          <w:lang w:val="en-US" w:eastAsia="zh-CN"/>
        </w:rPr>
        <w:t>1.</w:t>
      </w:r>
      <w:r>
        <w:rPr>
          <w:rFonts w:hint="eastAsia" w:ascii="宋体" w:hAnsi="宋体" w:eastAsia="宋体" w:cs="宋体"/>
          <w:b w:val="0"/>
          <w:color w:val="auto"/>
          <w:sz w:val="24"/>
          <w:szCs w:val="24"/>
        </w:rPr>
        <w:t>活动设计科学性与系统性：生涯体验周和就业体验周活动将全部的活动与课程、讲座、招聘会等多种形式相结合，分区域互动，区域内的互动阶段符合生涯发展和就业指导的规律。参与的学生从一开始持有无印章手册，通过个人努力收集印章，通过不断的闯关，实现更大的成就。</w:t>
      </w:r>
    </w:p>
    <w:p w14:paraId="6C99FB00">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eastAsia="宋体" w:cs="宋体"/>
          <w:b w:val="0"/>
          <w:color w:val="auto"/>
          <w:sz w:val="24"/>
          <w:szCs w:val="24"/>
          <w:lang w:val="en-US" w:eastAsia="zh-CN"/>
        </w:rPr>
        <w:t>2.</w:t>
      </w:r>
      <w:r>
        <w:rPr>
          <w:rFonts w:hint="eastAsia" w:ascii="宋体" w:hAnsi="宋体" w:eastAsia="宋体" w:cs="宋体"/>
          <w:b w:val="0"/>
          <w:color w:val="auto"/>
          <w:sz w:val="24"/>
          <w:szCs w:val="24"/>
        </w:rPr>
        <w:t>活动内容专业性与趣味性：各活动环节须基于成熟的生涯教育理论与工具模型设计，确保活动内容科学、专业，同时兼具趣味性和互动性，能够有效吸引学生深度参与。</w:t>
      </w:r>
    </w:p>
    <w:p w14:paraId="006F1E2F">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eastAsia="宋体" w:cs="宋体"/>
          <w:b w:val="0"/>
          <w:color w:val="auto"/>
          <w:sz w:val="24"/>
          <w:szCs w:val="24"/>
          <w:lang w:val="en-US" w:eastAsia="zh-CN"/>
        </w:rPr>
        <w:t>3.</w:t>
      </w:r>
      <w:r>
        <w:rPr>
          <w:rFonts w:hint="eastAsia" w:ascii="宋体" w:hAnsi="宋体" w:eastAsia="宋体" w:cs="宋体"/>
          <w:b w:val="0"/>
          <w:color w:val="auto"/>
          <w:sz w:val="24"/>
          <w:szCs w:val="24"/>
        </w:rPr>
        <w:t>数据化与技术保障：须提供AI大数据平台，实时显示同学们的完成情况，并提供相应的技术保障；参加活动的学生完成相关活动后，能在手机端实时收到测评结果并获得专属测评报告。</w:t>
      </w:r>
    </w:p>
    <w:p w14:paraId="3CD70D68">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lang w:val="en-US" w:eastAsia="zh-CN"/>
        </w:rPr>
        <w:t>4.</w:t>
      </w:r>
      <w:r>
        <w:rPr>
          <w:rFonts w:hint="eastAsia" w:ascii="宋体" w:hAnsi="宋体" w:eastAsia="宋体" w:cs="宋体"/>
          <w:b w:val="0"/>
          <w:color w:val="auto"/>
          <w:sz w:val="24"/>
          <w:szCs w:val="24"/>
        </w:rPr>
        <w:t>安全第一原则：活动现场布置须符合校园安全规范，物料结构稳固，活动流程设计须考虑人流疏导与安全防护，杜绝安全隐患。</w:t>
      </w:r>
    </w:p>
    <w:p w14:paraId="7E2954E0">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lang w:val="en-US" w:eastAsia="zh-CN"/>
        </w:rPr>
        <w:t>二</w:t>
      </w: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rPr>
        <w:t>生涯体验周活动内容</w:t>
      </w:r>
    </w:p>
    <w:p w14:paraId="731352F8">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eastAsia="宋体" w:cs="宋体"/>
          <w:b w:val="0"/>
          <w:color w:val="auto"/>
          <w:sz w:val="24"/>
          <w:szCs w:val="24"/>
        </w:rPr>
        <w:t>生涯体验周时间：5天，每天6小时。目标：通过引导低年级学生探索职业环境，了解自我，学习生涯规划的科学方法，提前建立</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职业发展</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的长远视角，避免因认知不足导致的职业选择拖延和迷茫。具体活动如下：</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05"/>
        <w:gridCol w:w="3619"/>
        <w:gridCol w:w="4537"/>
      </w:tblGrid>
      <w:tr w14:paraId="13DCA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6" w:hRule="atLeast"/>
          <w:jc w:val="center"/>
        </w:trPr>
        <w:tc>
          <w:tcPr>
            <w:tcW w:w="1105" w:type="dxa"/>
          </w:tcPr>
          <w:p w14:paraId="563D763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活动名称</w:t>
            </w:r>
          </w:p>
        </w:tc>
        <w:tc>
          <w:tcPr>
            <w:tcW w:w="3619" w:type="dxa"/>
          </w:tcPr>
          <w:p w14:paraId="0752A64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活动目标</w:t>
            </w:r>
          </w:p>
        </w:tc>
        <w:tc>
          <w:tcPr>
            <w:tcW w:w="4537" w:type="dxa"/>
          </w:tcPr>
          <w:p w14:paraId="16878C7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理论基础/工具/模型</w:t>
            </w:r>
          </w:p>
        </w:tc>
      </w:tr>
      <w:tr w14:paraId="08BE2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0" w:hRule="atLeast"/>
          <w:jc w:val="center"/>
        </w:trPr>
        <w:tc>
          <w:tcPr>
            <w:tcW w:w="1105" w:type="dxa"/>
          </w:tcPr>
          <w:p w14:paraId="45142D3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活动1：专业价值大冒险</w:t>
            </w:r>
          </w:p>
        </w:tc>
        <w:tc>
          <w:tcPr>
            <w:tcW w:w="3619" w:type="dxa"/>
          </w:tcPr>
          <w:p w14:paraId="48532BF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挖掘本专业的社会价值，寻求职业机会。</w:t>
            </w:r>
          </w:p>
        </w:tc>
        <w:tc>
          <w:tcPr>
            <w:tcW w:w="4537" w:type="dxa"/>
          </w:tcPr>
          <w:p w14:paraId="71E5C2C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人职匹配理论，通过投骰子分配细分行业场景，引导玩家思考自身专业在该领域的价值与对应职业，以拓宽职业选择视野。</w:t>
            </w:r>
          </w:p>
        </w:tc>
      </w:tr>
      <w:tr w14:paraId="13CE6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2" w:hRule="atLeast"/>
          <w:jc w:val="center"/>
        </w:trPr>
        <w:tc>
          <w:tcPr>
            <w:tcW w:w="1105" w:type="dxa"/>
          </w:tcPr>
          <w:p w14:paraId="191AA37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活动2：职业兴趣拼拼乐</w:t>
            </w:r>
          </w:p>
        </w:tc>
        <w:tc>
          <w:tcPr>
            <w:tcW w:w="3619" w:type="dxa"/>
          </w:tcPr>
          <w:p w14:paraId="4A0FE6B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在拓展职业认知的基础上，了解职业与兴趣的对应关系，判断自己的兴趣类型。</w:t>
            </w:r>
          </w:p>
        </w:tc>
        <w:tc>
          <w:tcPr>
            <w:tcW w:w="4537" w:type="dxa"/>
          </w:tcPr>
          <w:p w14:paraId="50F6664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霍兰德职业兴趣理论，对职业内容和代码的了解，理解职业兴趣及自身兴趣类型。</w:t>
            </w:r>
          </w:p>
        </w:tc>
      </w:tr>
      <w:tr w14:paraId="6B7D7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2" w:hRule="atLeast"/>
          <w:jc w:val="center"/>
        </w:trPr>
        <w:tc>
          <w:tcPr>
            <w:tcW w:w="1105" w:type="dxa"/>
          </w:tcPr>
          <w:p w14:paraId="0865F36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活动3：价值天平</w:t>
            </w:r>
          </w:p>
        </w:tc>
        <w:tc>
          <w:tcPr>
            <w:tcW w:w="3619" w:type="dxa"/>
          </w:tcPr>
          <w:p w14:paraId="5DC6B2A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基于价值观的"获得-代价"双重属性，判断自己看重的职业价值观。</w:t>
            </w:r>
          </w:p>
        </w:tc>
        <w:tc>
          <w:tcPr>
            <w:tcW w:w="4537" w:type="dxa"/>
          </w:tcPr>
          <w:p w14:paraId="7D3CE82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职业价值观，引导权衡职业价值观的"获得与代价"，明确价值观导向的职业选择优先级。</w:t>
            </w:r>
          </w:p>
        </w:tc>
      </w:tr>
      <w:tr w14:paraId="2678B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6" w:hRule="atLeast"/>
          <w:jc w:val="center"/>
        </w:trPr>
        <w:tc>
          <w:tcPr>
            <w:tcW w:w="1105" w:type="dxa"/>
          </w:tcPr>
          <w:p w14:paraId="69067F4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活动4：能力大摸底</w:t>
            </w:r>
          </w:p>
        </w:tc>
        <w:tc>
          <w:tcPr>
            <w:tcW w:w="3619" w:type="dxa"/>
          </w:tcPr>
          <w:p w14:paraId="2DB0608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通过小游戏现场体验通用能力，让参与者立刻感知自己的长短板，并把"能力"映射到未来职业需求中。</w:t>
            </w:r>
          </w:p>
        </w:tc>
        <w:tc>
          <w:tcPr>
            <w:tcW w:w="4537" w:type="dxa"/>
          </w:tcPr>
          <w:p w14:paraId="6766C98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能力的KSAO模型，通过现场挑战直观感知能力长短板，辅助后续能力提升规划。</w:t>
            </w:r>
          </w:p>
        </w:tc>
      </w:tr>
      <w:tr w14:paraId="39B25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0" w:hRule="atLeast"/>
          <w:jc w:val="center"/>
        </w:trPr>
        <w:tc>
          <w:tcPr>
            <w:tcW w:w="1105" w:type="dxa"/>
          </w:tcPr>
          <w:p w14:paraId="18D6B06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活动5：寻找职业坐标</w:t>
            </w:r>
          </w:p>
        </w:tc>
        <w:tc>
          <w:tcPr>
            <w:tcW w:w="3619" w:type="dxa"/>
          </w:tcPr>
          <w:p w14:paraId="1BDCFBD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通过地贴探索，把抽象的"工作世界"拆解成各个关键选项，并标记出自己未来要落脚的"具体坐标"。</w:t>
            </w:r>
          </w:p>
        </w:tc>
        <w:tc>
          <w:tcPr>
            <w:tcW w:w="4537" w:type="dxa"/>
          </w:tcPr>
          <w:p w14:paraId="7596CD8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工作世界地图理论，将"工作世界"拆解为行业、地域等维度，帮助定位具体职业方向。</w:t>
            </w:r>
          </w:p>
        </w:tc>
      </w:tr>
      <w:tr w14:paraId="3F81C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2" w:hRule="atLeast"/>
          <w:jc w:val="center"/>
        </w:trPr>
        <w:tc>
          <w:tcPr>
            <w:tcW w:w="1105" w:type="dxa"/>
          </w:tcPr>
          <w:p w14:paraId="78AE03C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活动6：决策快闪站</w:t>
            </w:r>
          </w:p>
        </w:tc>
        <w:tc>
          <w:tcPr>
            <w:tcW w:w="3619" w:type="dxa"/>
          </w:tcPr>
          <w:p w14:paraId="7EA342D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了解自己感兴趣的职位信息，确定目标职位。</w:t>
            </w:r>
          </w:p>
        </w:tc>
        <w:tc>
          <w:tcPr>
            <w:tcW w:w="4537" w:type="dxa"/>
          </w:tcPr>
          <w:p w14:paraId="63E5922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认知信息加工理论（CIP），整合前期自我与职业信息，辅助完成职业选择决策。</w:t>
            </w:r>
          </w:p>
        </w:tc>
      </w:tr>
      <w:tr w14:paraId="6D302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105" w:type="dxa"/>
          </w:tcPr>
          <w:p w14:paraId="45D0619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活动7：未来回声壁</w:t>
            </w:r>
          </w:p>
        </w:tc>
        <w:tc>
          <w:tcPr>
            <w:tcW w:w="3619" w:type="dxa"/>
          </w:tcPr>
          <w:p w14:paraId="15DD6AB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激发对未来职业生涯的想象，构建自己的生涯标签。</w:t>
            </w:r>
          </w:p>
        </w:tc>
        <w:tc>
          <w:tcPr>
            <w:tcW w:w="4537" w:type="dxa"/>
          </w:tcPr>
          <w:p w14:paraId="79596A4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生涯叙事理论，通过构建未来职业故事，强化生涯认同与方向感。</w:t>
            </w:r>
          </w:p>
        </w:tc>
      </w:tr>
      <w:tr w14:paraId="1AD1E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5" w:hRule="atLeast"/>
          <w:jc w:val="center"/>
        </w:trPr>
        <w:tc>
          <w:tcPr>
            <w:tcW w:w="1105" w:type="dxa"/>
          </w:tcPr>
          <w:p w14:paraId="3C84C9C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活动8："神经猫"围剿计划</w:t>
            </w:r>
          </w:p>
        </w:tc>
        <w:tc>
          <w:tcPr>
            <w:tcW w:w="3619" w:type="dxa"/>
          </w:tcPr>
          <w:p w14:paraId="61FC280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培养解决问题和决策力的大局观、规划观。</w:t>
            </w:r>
          </w:p>
        </w:tc>
        <w:tc>
          <w:tcPr>
            <w:tcW w:w="4537" w:type="dxa"/>
          </w:tcPr>
          <w:p w14:paraId="2880E09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博弈论中的"有限理性"与"策略互动"理论，通过"神经猫"的短视贪心逃脱与玩家的前瞻性布局封锁，隐喻生涯规划需超越即时反应，以系统性策略整合资源、规避风险，培养前瞻性决策能力。</w:t>
            </w:r>
          </w:p>
        </w:tc>
      </w:tr>
      <w:tr w14:paraId="3AC97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48" w:hRule="atLeast"/>
          <w:jc w:val="center"/>
        </w:trPr>
        <w:tc>
          <w:tcPr>
            <w:tcW w:w="1105" w:type="dxa"/>
          </w:tcPr>
          <w:p w14:paraId="470A072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活动9：emo退散平衡术</w:t>
            </w:r>
          </w:p>
        </w:tc>
        <w:tc>
          <w:tcPr>
            <w:tcW w:w="3619" w:type="dxa"/>
          </w:tcPr>
          <w:p w14:paraId="7A1F102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用平衡轮给大学生活"体检"，锁定最需关怀的维度，并输出对应的"自我照顾+成长"微计划，提升在校期间的身心状态。</w:t>
            </w:r>
          </w:p>
        </w:tc>
        <w:tc>
          <w:tcPr>
            <w:tcW w:w="4537" w:type="dxa"/>
          </w:tcPr>
          <w:p w14:paraId="07F7672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生涯平衡轮，关注大学生活多维度平衡，以良好身心状态支撑长远生涯发展。</w:t>
            </w:r>
          </w:p>
        </w:tc>
      </w:tr>
      <w:tr w14:paraId="32F56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0" w:hRule="atLeast"/>
          <w:jc w:val="center"/>
        </w:trPr>
        <w:tc>
          <w:tcPr>
            <w:tcW w:w="1105" w:type="dxa"/>
          </w:tcPr>
          <w:p w14:paraId="5B12902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活动10：我的实践攻略</w:t>
            </w:r>
          </w:p>
        </w:tc>
        <w:tc>
          <w:tcPr>
            <w:tcW w:w="3619" w:type="dxa"/>
          </w:tcPr>
          <w:p w14:paraId="71FDE9D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围绕自己的职业目标，基于知识、技能、能力成长，构建大学期间的实践路径，并锁定下一步具体行动。</w:t>
            </w:r>
          </w:p>
        </w:tc>
        <w:tc>
          <w:tcPr>
            <w:tcW w:w="4537" w:type="dxa"/>
          </w:tcPr>
          <w:p w14:paraId="338A533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社会学习生涯理论，围绕职业目标规划实践路径，缩小专业知识与职业技能差距。</w:t>
            </w:r>
          </w:p>
        </w:tc>
      </w:tr>
      <w:tr w14:paraId="1299D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5" w:hRule="atLeast"/>
          <w:jc w:val="center"/>
        </w:trPr>
        <w:tc>
          <w:tcPr>
            <w:tcW w:w="1105" w:type="dxa"/>
          </w:tcPr>
          <w:p w14:paraId="70174D4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活动11：人脉速写</w:t>
            </w:r>
          </w:p>
        </w:tc>
        <w:tc>
          <w:tcPr>
            <w:tcW w:w="3619" w:type="dxa"/>
          </w:tcPr>
          <w:p w14:paraId="64877B1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通过对人际网络的梳理，把模糊的职业兴趣或方向转化为可立即落地的探索行动，从而拓展信息，或使目标更加清晰。</w:t>
            </w:r>
          </w:p>
        </w:tc>
        <w:tc>
          <w:tcPr>
            <w:tcW w:w="4537" w:type="dxa"/>
          </w:tcPr>
          <w:p w14:paraId="7F9DF8A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社会资本理论，引导梳理人脉资源，将其转化为职业探索的信息与机会支撑。</w:t>
            </w:r>
          </w:p>
        </w:tc>
      </w:tr>
      <w:tr w14:paraId="70479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2" w:hRule="atLeast"/>
          <w:jc w:val="center"/>
        </w:trPr>
        <w:tc>
          <w:tcPr>
            <w:tcW w:w="1105" w:type="dxa"/>
          </w:tcPr>
          <w:p w14:paraId="6725386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活动12：生涯扫雷</w:t>
            </w:r>
          </w:p>
        </w:tc>
        <w:tc>
          <w:tcPr>
            <w:tcW w:w="3619" w:type="dxa"/>
          </w:tcPr>
          <w:p w14:paraId="7ED6378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参与生涯决策困难诊断测评，了解可能会导致自身出现决策困难的因素，从而提前进行准备，降低这些因素的影响。</w:t>
            </w:r>
          </w:p>
        </w:tc>
        <w:tc>
          <w:tcPr>
            <w:tcW w:w="4537" w:type="dxa"/>
          </w:tcPr>
          <w:p w14:paraId="70C33B2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CDDQ生涯决策困难，聚焦生涯决策过程中的潜在障碍（如信息不足、目标模糊、冲突解决困难等）。</w:t>
            </w:r>
          </w:p>
        </w:tc>
      </w:tr>
    </w:tbl>
    <w:p w14:paraId="2A3BAF89">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lang w:val="en-US" w:eastAsia="zh-CN"/>
        </w:rPr>
        <w:t>三</w:t>
      </w: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rPr>
        <w:t>就业体验周活动内容</w:t>
      </w:r>
    </w:p>
    <w:p w14:paraId="36189AE0">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eastAsia="宋体" w:cs="宋体"/>
          <w:b w:val="0"/>
          <w:color w:val="auto"/>
          <w:sz w:val="24"/>
          <w:szCs w:val="24"/>
        </w:rPr>
        <w:t>就业体验周时间：3天，每天6小时。目标：帮助求职的学生个体诊断当前个人求职状态，活动在校园内营造良好参与氛围，使更多学生投入其中，提升学生就业意识和就业信心。具体活动如下：</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7"/>
        <w:gridCol w:w="1453"/>
        <w:gridCol w:w="5963"/>
        <w:gridCol w:w="1092"/>
      </w:tblGrid>
      <w:tr w14:paraId="28B80B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 w:hRule="atLeast"/>
          <w:jc w:val="center"/>
        </w:trPr>
        <w:tc>
          <w:tcPr>
            <w:tcW w:w="707" w:type="dxa"/>
            <w:vAlign w:val="top"/>
          </w:tcPr>
          <w:p w14:paraId="7082FCE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区域</w:t>
            </w:r>
          </w:p>
        </w:tc>
        <w:tc>
          <w:tcPr>
            <w:tcW w:w="1453" w:type="dxa"/>
            <w:vAlign w:val="top"/>
          </w:tcPr>
          <w:p w14:paraId="24DF082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活动名称</w:t>
            </w:r>
          </w:p>
        </w:tc>
        <w:tc>
          <w:tcPr>
            <w:tcW w:w="5963" w:type="dxa"/>
            <w:vAlign w:val="top"/>
          </w:tcPr>
          <w:p w14:paraId="429235E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活动简介</w:t>
            </w:r>
          </w:p>
        </w:tc>
        <w:tc>
          <w:tcPr>
            <w:tcW w:w="1092" w:type="dxa"/>
            <w:vAlign w:val="top"/>
          </w:tcPr>
          <w:p w14:paraId="1AAD6FB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理论基础</w:t>
            </w:r>
          </w:p>
        </w:tc>
      </w:tr>
      <w:tr w14:paraId="43797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 w:hRule="atLeast"/>
          <w:jc w:val="center"/>
        </w:trPr>
        <w:tc>
          <w:tcPr>
            <w:tcW w:w="707" w:type="dxa"/>
            <w:vAlign w:val="top"/>
          </w:tcPr>
          <w:p w14:paraId="10493DE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职业目标</w:t>
            </w:r>
          </w:p>
        </w:tc>
        <w:tc>
          <w:tcPr>
            <w:tcW w:w="1453" w:type="dxa"/>
            <w:vAlign w:val="top"/>
          </w:tcPr>
          <w:p w14:paraId="33B4D33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活动1：职者的追求</w:t>
            </w:r>
          </w:p>
        </w:tc>
        <w:tc>
          <w:tcPr>
            <w:tcW w:w="5963" w:type="dxa"/>
            <w:vAlign w:val="top"/>
          </w:tcPr>
          <w:p w14:paraId="2A82AA6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参与者化身为勇敢的探险家，通过趣味套圈游戏，挖掘隐藏在职业世界中的价值观宝藏，解锁职业目标。</w:t>
            </w:r>
          </w:p>
        </w:tc>
        <w:tc>
          <w:tcPr>
            <w:tcW w:w="1092" w:type="dxa"/>
            <w:vAlign w:val="top"/>
          </w:tcPr>
          <w:p w14:paraId="6EEC8F9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职业价值观</w:t>
            </w:r>
          </w:p>
        </w:tc>
      </w:tr>
      <w:tr w14:paraId="716E3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 w:hRule="atLeast"/>
          <w:jc w:val="center"/>
        </w:trPr>
        <w:tc>
          <w:tcPr>
            <w:tcW w:w="707" w:type="dxa"/>
            <w:vAlign w:val="top"/>
          </w:tcPr>
          <w:p w14:paraId="23DCAB4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职业目标</w:t>
            </w:r>
          </w:p>
        </w:tc>
        <w:tc>
          <w:tcPr>
            <w:tcW w:w="1453" w:type="dxa"/>
            <w:vAlign w:val="top"/>
          </w:tcPr>
          <w:p w14:paraId="61FB4F4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活动2：我的轮岗日志</w:t>
            </w:r>
          </w:p>
        </w:tc>
        <w:tc>
          <w:tcPr>
            <w:tcW w:w="5963" w:type="dxa"/>
            <w:vAlign w:val="top"/>
          </w:tcPr>
          <w:p w14:paraId="16A1CF0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引导参与者穿越不同的职能领域，从严谨细致的财务部门，到创意无限的市场策划团队；从技术精湛的研发中心，到热情洋溢的客户服务小组。寻找那些让人眼前一亮、心潮澎湃的职能线索。</w:t>
            </w:r>
          </w:p>
        </w:tc>
        <w:tc>
          <w:tcPr>
            <w:tcW w:w="1092" w:type="dxa"/>
            <w:vAlign w:val="top"/>
          </w:tcPr>
          <w:p w14:paraId="0FCF75D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职能相关知识</w:t>
            </w:r>
          </w:p>
        </w:tc>
      </w:tr>
      <w:tr w14:paraId="14E88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 w:hRule="atLeast"/>
          <w:jc w:val="center"/>
        </w:trPr>
        <w:tc>
          <w:tcPr>
            <w:tcW w:w="707" w:type="dxa"/>
            <w:vAlign w:val="top"/>
          </w:tcPr>
          <w:p w14:paraId="502EB28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职业目标</w:t>
            </w:r>
          </w:p>
        </w:tc>
        <w:tc>
          <w:tcPr>
            <w:tcW w:w="1453" w:type="dxa"/>
            <w:vAlign w:val="top"/>
          </w:tcPr>
          <w:p w14:paraId="76E5CFB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活动3：岗位侦探</w:t>
            </w:r>
          </w:p>
        </w:tc>
        <w:tc>
          <w:tcPr>
            <w:tcW w:w="5963" w:type="dxa"/>
            <w:vAlign w:val="top"/>
          </w:tcPr>
          <w:p w14:paraId="1ED1A84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参与者化身成为一名AI赋能的职场侦探，手持智能放大镜，深入探寻目标岗位的方方面面，如解谜般抽丝剥茧地揭示目标职业的神秘面纱。从任职要求到日常的工作内容，一切细节都逃不过参与者敏锐的双眼。</w:t>
            </w:r>
          </w:p>
        </w:tc>
        <w:tc>
          <w:tcPr>
            <w:tcW w:w="1092" w:type="dxa"/>
            <w:vAlign w:val="top"/>
          </w:tcPr>
          <w:p w14:paraId="7B59180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职位说明书</w:t>
            </w:r>
          </w:p>
        </w:tc>
      </w:tr>
      <w:tr w14:paraId="2323B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 w:hRule="atLeast"/>
          <w:jc w:val="center"/>
        </w:trPr>
        <w:tc>
          <w:tcPr>
            <w:tcW w:w="707" w:type="dxa"/>
            <w:vAlign w:val="top"/>
          </w:tcPr>
          <w:p w14:paraId="6D207FC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岗位胜任力</w:t>
            </w:r>
          </w:p>
        </w:tc>
        <w:tc>
          <w:tcPr>
            <w:tcW w:w="1453" w:type="dxa"/>
            <w:vAlign w:val="top"/>
          </w:tcPr>
          <w:p w14:paraId="5FE56F0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活动4：职业能力解码器</w:t>
            </w:r>
          </w:p>
        </w:tc>
        <w:tc>
          <w:tcPr>
            <w:tcW w:w="5963" w:type="dxa"/>
            <w:vAlign w:val="top"/>
          </w:tcPr>
          <w:p w14:paraId="15E9EF3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参与者运用神秘的KST模型（知识、技能、才干）作为解码工具。在游戏的过程中，像拼图一样，将目标岗位的能力结构一点点拼凑完整，并通过对照自己的能力现状，找到自己需要提升和强化的能力板块。</w:t>
            </w:r>
          </w:p>
        </w:tc>
        <w:tc>
          <w:tcPr>
            <w:tcW w:w="1092" w:type="dxa"/>
            <w:vAlign w:val="top"/>
          </w:tcPr>
          <w:p w14:paraId="4972972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能力KST模型</w:t>
            </w:r>
          </w:p>
        </w:tc>
      </w:tr>
      <w:tr w14:paraId="14A80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 w:hRule="atLeast"/>
          <w:jc w:val="center"/>
        </w:trPr>
        <w:tc>
          <w:tcPr>
            <w:tcW w:w="707" w:type="dxa"/>
            <w:vAlign w:val="top"/>
          </w:tcPr>
          <w:p w14:paraId="034FF26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岗位胜任力</w:t>
            </w:r>
          </w:p>
        </w:tc>
        <w:tc>
          <w:tcPr>
            <w:tcW w:w="1453" w:type="dxa"/>
            <w:vAlign w:val="top"/>
          </w:tcPr>
          <w:p w14:paraId="6B0E04F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活动5：我的成就经历</w:t>
            </w:r>
          </w:p>
        </w:tc>
        <w:tc>
          <w:tcPr>
            <w:tcW w:w="5963" w:type="dxa"/>
            <w:vAlign w:val="top"/>
          </w:tcPr>
          <w:p w14:paraId="13F1887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参与者将在本活动中开启一场与自己过去的对话。通过运用STAR法则（情境、任务、行动、结果），像翻阅一本珍贵的相册一样，回顾自己在实习、实践中的那些闪光时刻。每一个成就故事，都是一颗璀璨的星星，照亮职业发展的道路。</w:t>
            </w:r>
          </w:p>
        </w:tc>
        <w:tc>
          <w:tcPr>
            <w:tcW w:w="1092" w:type="dxa"/>
            <w:vAlign w:val="top"/>
          </w:tcPr>
          <w:p w14:paraId="58C7FBA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成就故事法；STAR法则</w:t>
            </w:r>
          </w:p>
        </w:tc>
      </w:tr>
      <w:tr w14:paraId="25C65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 w:hRule="atLeast"/>
          <w:jc w:val="center"/>
        </w:trPr>
        <w:tc>
          <w:tcPr>
            <w:tcW w:w="707" w:type="dxa"/>
            <w:vAlign w:val="top"/>
          </w:tcPr>
          <w:p w14:paraId="04B74E2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岗位胜任力</w:t>
            </w:r>
          </w:p>
        </w:tc>
        <w:tc>
          <w:tcPr>
            <w:tcW w:w="1453" w:type="dxa"/>
            <w:vAlign w:val="top"/>
          </w:tcPr>
          <w:p w14:paraId="744FF27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活动6：将心比心</w:t>
            </w:r>
          </w:p>
        </w:tc>
        <w:tc>
          <w:tcPr>
            <w:tcW w:w="5963" w:type="dxa"/>
            <w:vAlign w:val="top"/>
          </w:tcPr>
          <w:p w14:paraId="2F96401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参与者将基于"人力资本"的概念，精心打造一份属于自己的"岗位优势清单"。需要深入思考目标岗位所需的各种能力，然后与自己的优势进行一一比对；制定一份专属的"能力提升清单"，为自己的优势积累制定一份清晰的行动计划。</w:t>
            </w:r>
          </w:p>
        </w:tc>
        <w:tc>
          <w:tcPr>
            <w:tcW w:w="1092" w:type="dxa"/>
            <w:vAlign w:val="top"/>
          </w:tcPr>
          <w:p w14:paraId="3D18E7A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人力资本相关理论</w:t>
            </w:r>
          </w:p>
        </w:tc>
      </w:tr>
      <w:tr w14:paraId="2B567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 w:hRule="atLeast"/>
          <w:jc w:val="center"/>
        </w:trPr>
        <w:tc>
          <w:tcPr>
            <w:tcW w:w="707" w:type="dxa"/>
            <w:vAlign w:val="top"/>
          </w:tcPr>
          <w:p w14:paraId="38D43F3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发展潜力</w:t>
            </w:r>
          </w:p>
        </w:tc>
        <w:tc>
          <w:tcPr>
            <w:tcW w:w="1453" w:type="dxa"/>
            <w:vAlign w:val="top"/>
          </w:tcPr>
          <w:p w14:paraId="2DAC0AD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活动7：职业潜能盘点</w:t>
            </w:r>
          </w:p>
        </w:tc>
        <w:tc>
          <w:tcPr>
            <w:tcW w:w="5963" w:type="dxa"/>
            <w:vAlign w:val="top"/>
          </w:tcPr>
          <w:p w14:paraId="0AF04A3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参与者将踏上一场探索未来职业发展必备素质的奇妙之旅。首先活动精选数项对未来职业发展至关重要的素质，引导参与者深入挖掘自身潜力，明确自身优势与待提升之处。其次，通过趣味雷达图，直观呈现素质分布，清晰洞察自己在各项关键素质上的水平。最后，结合大学生活实际场景，为参与者制定专属提升计划。</w:t>
            </w:r>
          </w:p>
        </w:tc>
        <w:tc>
          <w:tcPr>
            <w:tcW w:w="1092" w:type="dxa"/>
            <w:vAlign w:val="top"/>
          </w:tcPr>
          <w:p w14:paraId="6630D76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未来职业人士所需要的能力；胜任力素质模型</w:t>
            </w:r>
          </w:p>
        </w:tc>
      </w:tr>
      <w:tr w14:paraId="0AC01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 w:hRule="atLeast"/>
          <w:jc w:val="center"/>
        </w:trPr>
        <w:tc>
          <w:tcPr>
            <w:tcW w:w="707" w:type="dxa"/>
            <w:vAlign w:val="top"/>
          </w:tcPr>
          <w:p w14:paraId="0178360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发展潜力</w:t>
            </w:r>
          </w:p>
        </w:tc>
        <w:tc>
          <w:tcPr>
            <w:tcW w:w="1453" w:type="dxa"/>
            <w:vAlign w:val="top"/>
          </w:tcPr>
          <w:p w14:paraId="5B9B9EF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活动8：职业AI进化论</w:t>
            </w:r>
          </w:p>
        </w:tc>
        <w:tc>
          <w:tcPr>
            <w:tcW w:w="5963" w:type="dxa"/>
            <w:vAlign w:val="top"/>
          </w:tcPr>
          <w:p w14:paraId="5DE85E1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参与者将踏上一场充满科技感的探索之旅。围绕目标职业/岗位，深入剖析AI技术带来的影响与变革。从阅读"AI影响卡"，到分析AI如何改变岗位需求，再到制定应对策略，每一步都充满挑战与惊喜。参与者将看到AI如何重塑职业未来，而自己又将如何在AI时代中找准自己的位置，实现职业的"进化"。</w:t>
            </w:r>
          </w:p>
        </w:tc>
        <w:tc>
          <w:tcPr>
            <w:tcW w:w="1092" w:type="dxa"/>
            <w:vAlign w:val="top"/>
          </w:tcPr>
          <w:p w14:paraId="42B5906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AI发展对职业的影响</w:t>
            </w:r>
          </w:p>
        </w:tc>
      </w:tr>
      <w:tr w14:paraId="771AA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 w:hRule="atLeast"/>
          <w:jc w:val="center"/>
        </w:trPr>
        <w:tc>
          <w:tcPr>
            <w:tcW w:w="707" w:type="dxa"/>
            <w:vAlign w:val="top"/>
          </w:tcPr>
          <w:p w14:paraId="0F45EA4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发展潜力</w:t>
            </w:r>
          </w:p>
        </w:tc>
        <w:tc>
          <w:tcPr>
            <w:tcW w:w="1453" w:type="dxa"/>
            <w:vAlign w:val="top"/>
          </w:tcPr>
          <w:p w14:paraId="33065F7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活动9：勇闯面试厅</w:t>
            </w:r>
          </w:p>
        </w:tc>
        <w:tc>
          <w:tcPr>
            <w:tcW w:w="5963" w:type="dxa"/>
            <w:vAlign w:val="top"/>
          </w:tcPr>
          <w:p w14:paraId="08AFD33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参与者将踏上一场紧张刺激的面试冒险之旅。在这里，他们能够学到面试回答的黄金原则，掌握在面试中脱颖而出的关键技巧。通过抽取题卡作答，看能否自己否精准选中最佳答案！同时，大胆尝试运用所学的技巧进行面试模拟回答，亲自检验自己的学习成果。</w:t>
            </w:r>
          </w:p>
        </w:tc>
        <w:tc>
          <w:tcPr>
            <w:tcW w:w="1092" w:type="dxa"/>
            <w:vAlign w:val="top"/>
          </w:tcPr>
          <w:p w14:paraId="5A4B208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面试相关技术</w:t>
            </w:r>
          </w:p>
        </w:tc>
      </w:tr>
      <w:tr w14:paraId="626CCD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 w:hRule="atLeast"/>
          <w:jc w:val="center"/>
        </w:trPr>
        <w:tc>
          <w:tcPr>
            <w:tcW w:w="707" w:type="dxa"/>
            <w:vAlign w:val="top"/>
          </w:tcPr>
          <w:p w14:paraId="7B35967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总结区</w:t>
            </w:r>
          </w:p>
        </w:tc>
        <w:tc>
          <w:tcPr>
            <w:tcW w:w="1453" w:type="dxa"/>
            <w:vAlign w:val="top"/>
          </w:tcPr>
          <w:p w14:paraId="2EE1E96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活动10：简历诊断</w:t>
            </w:r>
          </w:p>
        </w:tc>
        <w:tc>
          <w:tcPr>
            <w:tcW w:w="5963" w:type="dxa"/>
            <w:vAlign w:val="top"/>
          </w:tcPr>
          <w:p w14:paraId="4097817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参与者在本关将化身为一名简历医生，手持"简历诊断工具"，为简历进行全面的健康检查。参与者将了解简历考核的各项标准，通过参与现场的游戏筛选出那些优秀的简历样本，从而掌握实用的简历撰写技巧，让自己的简历在众多求职者中脱颖而出，成为通往理想职业的敲门砖。</w:t>
            </w:r>
          </w:p>
        </w:tc>
        <w:tc>
          <w:tcPr>
            <w:tcW w:w="1092" w:type="dxa"/>
            <w:vAlign w:val="top"/>
          </w:tcPr>
          <w:p w14:paraId="051C356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简历撰写相关技巧</w:t>
            </w:r>
          </w:p>
        </w:tc>
      </w:tr>
      <w:tr w14:paraId="0A32AA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 w:hRule="atLeast"/>
          <w:jc w:val="center"/>
        </w:trPr>
        <w:tc>
          <w:tcPr>
            <w:tcW w:w="707" w:type="dxa"/>
            <w:vAlign w:val="top"/>
          </w:tcPr>
          <w:p w14:paraId="155A5A7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总结区</w:t>
            </w:r>
          </w:p>
        </w:tc>
        <w:tc>
          <w:tcPr>
            <w:tcW w:w="1453" w:type="dxa"/>
            <w:vAlign w:val="top"/>
          </w:tcPr>
          <w:p w14:paraId="6C25744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活动11：就业信心扫描仪</w:t>
            </w:r>
          </w:p>
        </w:tc>
        <w:tc>
          <w:tcPr>
            <w:tcW w:w="5963" w:type="dxa"/>
            <w:vAlign w:val="top"/>
          </w:tcPr>
          <w:p w14:paraId="631C170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在本活动中，参与者将像一名勇敢的探索者，走进自己内心深处的就业信心世界。通过进行就业信心的测评，获得一份专属的个人报告，帮助学生了解自己在就业过程中的信心水平。</w:t>
            </w:r>
          </w:p>
        </w:tc>
        <w:tc>
          <w:tcPr>
            <w:tcW w:w="1092" w:type="dxa"/>
            <w:vAlign w:val="top"/>
          </w:tcPr>
          <w:p w14:paraId="3F9E254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就业信心指数；就业环境感知等</w:t>
            </w:r>
          </w:p>
        </w:tc>
      </w:tr>
    </w:tbl>
    <w:p w14:paraId="67563F0A">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lang w:val="en-US" w:eastAsia="zh-CN"/>
        </w:rPr>
        <w:t>四</w:t>
      </w: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rPr>
        <w:t>活动基本信息与各方职责</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18"/>
        <w:gridCol w:w="8109"/>
      </w:tblGrid>
      <w:tr w14:paraId="7AB82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18" w:type="dxa"/>
          </w:tcPr>
          <w:p w14:paraId="7071D96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主题</w:t>
            </w:r>
          </w:p>
        </w:tc>
        <w:tc>
          <w:tcPr>
            <w:tcW w:w="8109" w:type="dxa"/>
          </w:tcPr>
          <w:p w14:paraId="136679B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详细说明</w:t>
            </w:r>
          </w:p>
        </w:tc>
      </w:tr>
      <w:tr w14:paraId="28551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18" w:type="dxa"/>
          </w:tcPr>
          <w:p w14:paraId="3FE8797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面向对象</w:t>
            </w:r>
          </w:p>
        </w:tc>
        <w:tc>
          <w:tcPr>
            <w:tcW w:w="8109" w:type="dxa"/>
          </w:tcPr>
          <w:p w14:paraId="66B32DE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全体在校学生，生涯体验周主要针对大一学生（人数约4700人），就业体验周主要针对大三学生（人数约3700人）。</w:t>
            </w:r>
          </w:p>
        </w:tc>
      </w:tr>
      <w:tr w14:paraId="73F04A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18" w:type="dxa"/>
          </w:tcPr>
          <w:p w14:paraId="1A12BC4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合作形式</w:t>
            </w:r>
          </w:p>
        </w:tc>
        <w:tc>
          <w:tcPr>
            <w:tcW w:w="8109" w:type="dxa"/>
          </w:tcPr>
          <w:p w14:paraId="79E9408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全包合作形式。</w:t>
            </w:r>
          </w:p>
        </w:tc>
      </w:tr>
      <w:tr w14:paraId="11D14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18" w:type="dxa"/>
          </w:tcPr>
          <w:p w14:paraId="49C930F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时间</w:t>
            </w:r>
          </w:p>
        </w:tc>
        <w:tc>
          <w:tcPr>
            <w:tcW w:w="8109" w:type="dxa"/>
          </w:tcPr>
          <w:p w14:paraId="0852C49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1</w:t>
            </w:r>
            <w:r>
              <w:rPr>
                <w:rFonts w:hint="eastAsia" w:ascii="宋体" w:hAnsi="宋体" w:eastAsia="宋体" w:cs="宋体"/>
                <w:b w:val="0"/>
                <w:color w:val="auto"/>
                <w:sz w:val="21"/>
                <w:szCs w:val="21"/>
                <w:lang w:val="en-US" w:eastAsia="zh-CN"/>
              </w:rPr>
              <w:t>1</w:t>
            </w:r>
            <w:r>
              <w:rPr>
                <w:rFonts w:hint="eastAsia" w:ascii="宋体" w:hAnsi="宋体" w:eastAsia="宋体" w:cs="宋体"/>
                <w:b w:val="0"/>
                <w:color w:val="auto"/>
                <w:sz w:val="21"/>
                <w:szCs w:val="21"/>
              </w:rPr>
              <w:t>月15日—1</w:t>
            </w:r>
            <w:r>
              <w:rPr>
                <w:rFonts w:hint="eastAsia" w:ascii="宋体" w:hAnsi="宋体" w:eastAsia="宋体" w:cs="宋体"/>
                <w:b w:val="0"/>
                <w:color w:val="auto"/>
                <w:sz w:val="21"/>
                <w:szCs w:val="21"/>
                <w:lang w:val="en-US" w:eastAsia="zh-CN"/>
              </w:rPr>
              <w:t>1</w:t>
            </w:r>
            <w:r>
              <w:rPr>
                <w:rFonts w:hint="eastAsia" w:ascii="宋体" w:hAnsi="宋体" w:eastAsia="宋体" w:cs="宋体"/>
                <w:b w:val="0"/>
                <w:color w:val="auto"/>
                <w:sz w:val="21"/>
                <w:szCs w:val="21"/>
              </w:rPr>
              <w:t>月17日（3天</w:t>
            </w:r>
            <w:r>
              <w:rPr>
                <w:rFonts w:hint="eastAsia" w:ascii="宋体" w:hAnsi="宋体" w:eastAsia="宋体" w:cs="宋体"/>
                <w:b w:val="0"/>
                <w:color w:val="auto"/>
                <w:sz w:val="21"/>
                <w:szCs w:val="21"/>
                <w:lang w:eastAsia="zh-CN"/>
              </w:rPr>
              <w:t>，每天</w:t>
            </w:r>
            <w:r>
              <w:rPr>
                <w:rFonts w:hint="eastAsia" w:ascii="宋体" w:hAnsi="宋体" w:eastAsia="宋体" w:cs="宋体"/>
                <w:b w:val="0"/>
                <w:color w:val="auto"/>
                <w:sz w:val="21"/>
                <w:szCs w:val="21"/>
                <w:lang w:val="en-US" w:eastAsia="zh-CN"/>
              </w:rPr>
              <w:t>6小时</w:t>
            </w:r>
            <w:r>
              <w:rPr>
                <w:rFonts w:hint="eastAsia" w:ascii="宋体" w:hAnsi="宋体" w:eastAsia="宋体" w:cs="宋体"/>
                <w:b w:val="0"/>
                <w:color w:val="auto"/>
                <w:sz w:val="21"/>
                <w:szCs w:val="21"/>
              </w:rPr>
              <w:t>）开展就业体验周活动，11月</w:t>
            </w:r>
            <w:r>
              <w:rPr>
                <w:rFonts w:hint="eastAsia" w:ascii="宋体" w:hAnsi="宋体" w:eastAsia="宋体" w:cs="宋体"/>
                <w:b w:val="0"/>
                <w:color w:val="auto"/>
                <w:sz w:val="21"/>
                <w:szCs w:val="21"/>
                <w:lang w:val="en-US" w:eastAsia="zh-CN"/>
              </w:rPr>
              <w:t>18</w:t>
            </w:r>
            <w:r>
              <w:rPr>
                <w:rFonts w:hint="eastAsia" w:ascii="宋体" w:hAnsi="宋体" w:eastAsia="宋体" w:cs="宋体"/>
                <w:b w:val="0"/>
                <w:color w:val="auto"/>
                <w:sz w:val="21"/>
                <w:szCs w:val="21"/>
              </w:rPr>
              <w:t>日—11月</w:t>
            </w:r>
            <w:r>
              <w:rPr>
                <w:rFonts w:hint="eastAsia" w:ascii="宋体" w:hAnsi="宋体" w:eastAsia="宋体" w:cs="宋体"/>
                <w:b w:val="0"/>
                <w:color w:val="auto"/>
                <w:sz w:val="21"/>
                <w:szCs w:val="21"/>
                <w:lang w:val="en-US" w:eastAsia="zh-CN"/>
              </w:rPr>
              <w:t>22</w:t>
            </w:r>
            <w:r>
              <w:rPr>
                <w:rFonts w:hint="eastAsia" w:ascii="宋体" w:hAnsi="宋体" w:eastAsia="宋体" w:cs="宋体"/>
                <w:b w:val="0"/>
                <w:color w:val="auto"/>
                <w:sz w:val="21"/>
                <w:szCs w:val="21"/>
              </w:rPr>
              <w:t>日（5天</w:t>
            </w:r>
            <w:r>
              <w:rPr>
                <w:rFonts w:hint="eastAsia" w:ascii="宋体" w:hAnsi="宋体" w:eastAsia="宋体" w:cs="宋体"/>
                <w:b w:val="0"/>
                <w:color w:val="auto"/>
                <w:sz w:val="21"/>
                <w:szCs w:val="21"/>
                <w:lang w:eastAsia="zh-CN"/>
              </w:rPr>
              <w:t>，每天</w:t>
            </w:r>
            <w:r>
              <w:rPr>
                <w:rFonts w:hint="eastAsia" w:ascii="宋体" w:hAnsi="宋体" w:eastAsia="宋体" w:cs="宋体"/>
                <w:b w:val="0"/>
                <w:color w:val="auto"/>
                <w:sz w:val="21"/>
                <w:szCs w:val="21"/>
                <w:lang w:val="en-US" w:eastAsia="zh-CN"/>
              </w:rPr>
              <w:t>6小时</w:t>
            </w:r>
            <w:r>
              <w:rPr>
                <w:rFonts w:hint="eastAsia" w:ascii="宋体" w:hAnsi="宋体" w:eastAsia="宋体" w:cs="宋体"/>
                <w:b w:val="0"/>
                <w:color w:val="auto"/>
                <w:sz w:val="21"/>
                <w:szCs w:val="21"/>
              </w:rPr>
              <w:t>）开展生涯体验周活动。</w:t>
            </w:r>
          </w:p>
        </w:tc>
      </w:tr>
      <w:tr w14:paraId="3F257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18" w:type="dxa"/>
          </w:tcPr>
          <w:p w14:paraId="1B14718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场地</w:t>
            </w:r>
          </w:p>
        </w:tc>
        <w:tc>
          <w:tcPr>
            <w:tcW w:w="8109" w:type="dxa"/>
          </w:tcPr>
          <w:p w14:paraId="36CE6BD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合适的场地，户外开放广场或带顶棚的体育馆。</w:t>
            </w:r>
          </w:p>
        </w:tc>
      </w:tr>
      <w:tr w14:paraId="46B0D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18" w:type="dxa"/>
          </w:tcPr>
          <w:p w14:paraId="539EEBB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eastAsia="zh-CN"/>
              </w:rPr>
              <w:t>采购人</w:t>
            </w:r>
            <w:r>
              <w:rPr>
                <w:rFonts w:hint="eastAsia" w:ascii="宋体" w:hAnsi="宋体" w:eastAsia="宋体" w:cs="宋体"/>
                <w:b w:val="0"/>
                <w:color w:val="auto"/>
                <w:sz w:val="21"/>
                <w:szCs w:val="21"/>
              </w:rPr>
              <w:t>负责人</w:t>
            </w:r>
          </w:p>
        </w:tc>
        <w:tc>
          <w:tcPr>
            <w:tcW w:w="8109" w:type="dxa"/>
          </w:tcPr>
          <w:p w14:paraId="069C5FD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1.对接承办方，沟通</w:t>
            </w:r>
            <w:r>
              <w:rPr>
                <w:rFonts w:hint="eastAsia" w:ascii="宋体" w:hAnsi="宋体" w:eastAsia="宋体" w:cs="宋体"/>
                <w:b w:val="0"/>
                <w:color w:val="auto"/>
                <w:sz w:val="21"/>
                <w:szCs w:val="21"/>
                <w:lang w:eastAsia="zh-CN"/>
              </w:rPr>
              <w:t>采购人</w:t>
            </w:r>
            <w:r>
              <w:rPr>
                <w:rFonts w:hint="eastAsia" w:ascii="宋体" w:hAnsi="宋体" w:eastAsia="宋体" w:cs="宋体"/>
                <w:b w:val="0"/>
                <w:color w:val="auto"/>
                <w:sz w:val="21"/>
                <w:szCs w:val="21"/>
              </w:rPr>
              <w:t>需求，全程配合活动的协调组织；2.组织校内宣传工作，提高学生的参与度；3.招募学生志愿者作为活动"关主"；4.提供活动宣传所需的相关信息。</w:t>
            </w:r>
          </w:p>
        </w:tc>
      </w:tr>
      <w:tr w14:paraId="5C7CC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18" w:type="dxa"/>
          </w:tcPr>
          <w:p w14:paraId="0C6899D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校内学生志愿者</w:t>
            </w:r>
          </w:p>
        </w:tc>
        <w:tc>
          <w:tcPr>
            <w:tcW w:w="8109" w:type="dxa"/>
          </w:tcPr>
          <w:p w14:paraId="0FF1130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1.参与志愿者培训，了解活动意义及目的；2.活动宣传及现场引导学生参与活动；3.发放活动物资，核定活动闯关结果；4.现场物资的布置及回收清点。</w:t>
            </w:r>
          </w:p>
        </w:tc>
      </w:tr>
      <w:tr w14:paraId="12E17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18" w:type="dxa"/>
          </w:tcPr>
          <w:p w14:paraId="5CDD9FB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承办方</w:t>
            </w:r>
          </w:p>
        </w:tc>
        <w:tc>
          <w:tcPr>
            <w:tcW w:w="8109" w:type="dxa"/>
          </w:tcPr>
          <w:p w14:paraId="5EC2F0D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1.根据</w:t>
            </w:r>
            <w:r>
              <w:rPr>
                <w:rFonts w:hint="eastAsia" w:ascii="宋体" w:hAnsi="宋体" w:eastAsia="宋体" w:cs="宋体"/>
                <w:b w:val="0"/>
                <w:color w:val="auto"/>
                <w:sz w:val="21"/>
                <w:szCs w:val="21"/>
                <w:lang w:eastAsia="zh-CN"/>
              </w:rPr>
              <w:t>采购人</w:t>
            </w:r>
            <w:r>
              <w:rPr>
                <w:rFonts w:hint="eastAsia" w:ascii="宋体" w:hAnsi="宋体" w:eastAsia="宋体" w:cs="宋体"/>
                <w:b w:val="0"/>
                <w:color w:val="auto"/>
                <w:sz w:val="21"/>
                <w:szCs w:val="21"/>
              </w:rPr>
              <w:t>需求，提供整体活动方案；2.所有活动的物资准备；3.活动志愿者培训工作；4.活动现场布展，全程活动现场执行及专业督导；5.活动结束后提供给</w:t>
            </w:r>
            <w:r>
              <w:rPr>
                <w:rFonts w:hint="eastAsia" w:ascii="宋体" w:hAnsi="宋体" w:eastAsia="宋体" w:cs="宋体"/>
                <w:b w:val="0"/>
                <w:color w:val="auto"/>
                <w:sz w:val="21"/>
                <w:szCs w:val="21"/>
                <w:lang w:eastAsia="zh-CN"/>
              </w:rPr>
              <w:t>采购人</w:t>
            </w:r>
            <w:r>
              <w:rPr>
                <w:rFonts w:hint="eastAsia" w:ascii="宋体" w:hAnsi="宋体" w:eastAsia="宋体" w:cs="宋体"/>
                <w:b w:val="0"/>
                <w:color w:val="auto"/>
                <w:sz w:val="21"/>
                <w:szCs w:val="21"/>
              </w:rPr>
              <w:t>书面总结反馈报告。</w:t>
            </w:r>
          </w:p>
        </w:tc>
      </w:tr>
    </w:tbl>
    <w:p w14:paraId="4267FE6B">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lang w:val="en-US" w:eastAsia="zh-CN"/>
        </w:rPr>
        <w:t>五</w:t>
      </w: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rPr>
        <w:t>线上测评与数据平台要求</w:t>
      </w:r>
    </w:p>
    <w:p w14:paraId="1F4C2D37">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eastAsia="宋体" w:cs="宋体"/>
          <w:b w:val="0"/>
          <w:color w:val="auto"/>
          <w:sz w:val="24"/>
          <w:szCs w:val="24"/>
          <w:lang w:val="en-US" w:eastAsia="zh-CN"/>
        </w:rPr>
        <w:t>1.</w:t>
      </w:r>
      <w:r>
        <w:rPr>
          <w:rFonts w:hint="eastAsia" w:ascii="宋体" w:hAnsi="宋体" w:eastAsia="宋体" w:cs="宋体"/>
          <w:b w:val="0"/>
          <w:color w:val="auto"/>
          <w:sz w:val="24"/>
          <w:szCs w:val="24"/>
        </w:rPr>
        <w:t>参加生涯体验周活动的学生完成相关活动后，能在手机端实时收到测评结果；</w:t>
      </w:r>
    </w:p>
    <w:p w14:paraId="7140C1C9">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cs="宋体"/>
          <w:b w:val="0"/>
          <w:color w:val="auto"/>
          <w:sz w:val="24"/>
          <w:szCs w:val="24"/>
          <w:lang w:val="en-US" w:eastAsia="zh-CN"/>
        </w:rPr>
        <w:t>2</w:t>
      </w:r>
      <w:r>
        <w:rPr>
          <w:rFonts w:hint="eastAsia" w:ascii="宋体" w:hAnsi="宋体" w:eastAsia="宋体" w:cs="宋体"/>
          <w:b w:val="0"/>
          <w:color w:val="auto"/>
          <w:sz w:val="24"/>
          <w:szCs w:val="24"/>
          <w:lang w:val="en-US" w:eastAsia="zh-CN"/>
        </w:rPr>
        <w:t>.</w:t>
      </w:r>
      <w:r>
        <w:rPr>
          <w:rFonts w:hint="eastAsia" w:ascii="宋体" w:hAnsi="宋体" w:eastAsia="宋体" w:cs="宋体"/>
          <w:b w:val="0"/>
          <w:color w:val="auto"/>
          <w:sz w:val="24"/>
          <w:szCs w:val="24"/>
        </w:rPr>
        <w:t>提供AI大数据平台，实时显示同学们的完成情况，并提供相应的技术保障。</w:t>
      </w:r>
    </w:p>
    <w:p w14:paraId="0FF9EEFB">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（六）</w:t>
      </w:r>
      <w:r>
        <w:rPr>
          <w:rFonts w:hint="eastAsia" w:ascii="宋体" w:hAnsi="宋体" w:eastAsia="宋体" w:cs="宋体"/>
          <w:b/>
          <w:color w:val="auto"/>
          <w:sz w:val="24"/>
          <w:szCs w:val="24"/>
        </w:rPr>
        <w:t>方案保障</w:t>
      </w:r>
    </w:p>
    <w:p w14:paraId="6EFBB8DD">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eastAsia="宋体" w:cs="宋体"/>
          <w:b w:val="0"/>
          <w:color w:val="auto"/>
          <w:sz w:val="24"/>
          <w:szCs w:val="24"/>
          <w:lang w:eastAsia="zh-CN"/>
        </w:rPr>
        <w:t>成交</w:t>
      </w:r>
      <w:r>
        <w:rPr>
          <w:rFonts w:hint="eastAsia" w:ascii="宋体" w:hAnsi="宋体" w:eastAsia="宋体" w:cs="宋体"/>
          <w:b w:val="0"/>
          <w:color w:val="auto"/>
          <w:sz w:val="24"/>
          <w:szCs w:val="24"/>
        </w:rPr>
        <w:t>后须根据</w:t>
      </w:r>
      <w:r>
        <w:rPr>
          <w:rFonts w:hint="eastAsia" w:ascii="宋体" w:hAnsi="宋体" w:eastAsia="宋体" w:cs="宋体"/>
          <w:b w:val="0"/>
          <w:color w:val="auto"/>
          <w:sz w:val="24"/>
          <w:szCs w:val="24"/>
          <w:lang w:eastAsia="zh-CN"/>
        </w:rPr>
        <w:t>采购人</w:t>
      </w:r>
      <w:r>
        <w:rPr>
          <w:rFonts w:hint="eastAsia" w:ascii="宋体" w:hAnsi="宋体" w:eastAsia="宋体" w:cs="宋体"/>
          <w:b w:val="0"/>
          <w:color w:val="auto"/>
          <w:sz w:val="24"/>
          <w:szCs w:val="24"/>
        </w:rPr>
        <w:t>需求，提交包含活动整体方案、各区域活动设计、物料清单、现场布局图在内的全套执行方案，经</w:t>
      </w:r>
      <w:r>
        <w:rPr>
          <w:rFonts w:hint="eastAsia" w:ascii="宋体" w:hAnsi="宋体" w:eastAsia="宋体" w:cs="宋体"/>
          <w:b w:val="0"/>
          <w:color w:val="auto"/>
          <w:sz w:val="24"/>
          <w:szCs w:val="24"/>
          <w:lang w:eastAsia="zh-CN"/>
        </w:rPr>
        <w:t>采购人</w:t>
      </w:r>
      <w:r>
        <w:rPr>
          <w:rFonts w:hint="eastAsia" w:ascii="宋体" w:hAnsi="宋体" w:eastAsia="宋体" w:cs="宋体"/>
          <w:b w:val="0"/>
          <w:color w:val="auto"/>
          <w:sz w:val="24"/>
          <w:szCs w:val="24"/>
        </w:rPr>
        <w:t>确认后方可进入筹备阶段。</w:t>
      </w:r>
    </w:p>
    <w:p w14:paraId="2C0FAFBE">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活动进度安排</w:t>
      </w:r>
    </w:p>
    <w:p w14:paraId="260F34FE">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b w:val="0"/>
          <w:color w:val="auto"/>
          <w:sz w:val="24"/>
          <w:szCs w:val="24"/>
          <w:lang w:val="en-US" w:eastAsia="zh-CN"/>
        </w:rPr>
        <w:t>1.</w:t>
      </w:r>
      <w:r>
        <w:rPr>
          <w:rFonts w:hint="eastAsia" w:ascii="宋体" w:hAnsi="宋体" w:eastAsia="宋体" w:cs="宋体"/>
          <w:b w:val="0"/>
          <w:color w:val="auto"/>
          <w:sz w:val="24"/>
          <w:szCs w:val="24"/>
        </w:rPr>
        <w:t>活动筹备阶段：</w:t>
      </w:r>
      <w:r>
        <w:rPr>
          <w:rFonts w:hint="eastAsia" w:ascii="宋体" w:hAnsi="宋体" w:eastAsia="宋体" w:cs="宋体"/>
          <w:b w:val="0"/>
          <w:color w:val="auto"/>
          <w:sz w:val="24"/>
          <w:szCs w:val="24"/>
          <w:lang w:eastAsia="zh-CN"/>
        </w:rPr>
        <w:t>成交</w:t>
      </w:r>
      <w:r>
        <w:rPr>
          <w:rFonts w:hint="eastAsia" w:ascii="宋体" w:hAnsi="宋体" w:eastAsia="宋体" w:cs="宋体"/>
          <w:b w:val="0"/>
          <w:color w:val="auto"/>
          <w:sz w:val="24"/>
          <w:szCs w:val="24"/>
        </w:rPr>
        <w:t>后至2026年1</w:t>
      </w:r>
      <w:r>
        <w:rPr>
          <w:rFonts w:hint="eastAsia" w:ascii="宋体" w:hAnsi="宋体" w:eastAsia="宋体" w:cs="宋体"/>
          <w:b w:val="0"/>
          <w:color w:val="auto"/>
          <w:sz w:val="24"/>
          <w:szCs w:val="24"/>
          <w:lang w:val="en-US" w:eastAsia="zh-CN"/>
        </w:rPr>
        <w:t>1</w:t>
      </w:r>
      <w:r>
        <w:rPr>
          <w:rFonts w:hint="eastAsia" w:ascii="宋体" w:hAnsi="宋体" w:eastAsia="宋体" w:cs="宋体"/>
          <w:b w:val="0"/>
          <w:color w:val="auto"/>
          <w:sz w:val="24"/>
          <w:szCs w:val="24"/>
        </w:rPr>
        <w:t>月14日前完成</w:t>
      </w:r>
      <w:r>
        <w:rPr>
          <w:rFonts w:hint="eastAsia" w:ascii="宋体" w:hAnsi="宋体" w:eastAsia="宋体" w:cs="宋体"/>
          <w:b w:val="0"/>
          <w:color w:val="auto"/>
          <w:sz w:val="24"/>
          <w:szCs w:val="24"/>
          <w:lang w:eastAsia="zh-CN"/>
        </w:rPr>
        <w:t>体验周的</w:t>
      </w:r>
      <w:r>
        <w:rPr>
          <w:rFonts w:hint="eastAsia" w:ascii="宋体" w:hAnsi="宋体" w:eastAsia="宋体" w:cs="宋体"/>
          <w:b w:val="0"/>
          <w:color w:val="auto"/>
          <w:sz w:val="24"/>
          <w:szCs w:val="24"/>
        </w:rPr>
        <w:t>物料制作、志愿者系统培训及现场布展；</w:t>
      </w:r>
    </w:p>
    <w:p w14:paraId="0B3B6D1A">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eastAsia="宋体" w:cs="宋体"/>
          <w:b w:val="0"/>
          <w:color w:val="auto"/>
          <w:sz w:val="24"/>
          <w:szCs w:val="24"/>
          <w:lang w:val="en-US" w:eastAsia="zh-CN"/>
        </w:rPr>
        <w:t>2.</w:t>
      </w:r>
      <w:r>
        <w:rPr>
          <w:rFonts w:hint="eastAsia" w:ascii="宋体" w:hAnsi="宋体" w:eastAsia="宋体" w:cs="宋体"/>
          <w:b w:val="0"/>
          <w:color w:val="auto"/>
          <w:sz w:val="24"/>
          <w:szCs w:val="24"/>
        </w:rPr>
        <w:t>就业体验周阶段：2026年1</w:t>
      </w:r>
      <w:r>
        <w:rPr>
          <w:rFonts w:hint="eastAsia" w:ascii="宋体" w:hAnsi="宋体" w:eastAsia="宋体" w:cs="宋体"/>
          <w:b w:val="0"/>
          <w:color w:val="auto"/>
          <w:sz w:val="24"/>
          <w:szCs w:val="24"/>
          <w:lang w:val="en-US" w:eastAsia="zh-CN"/>
        </w:rPr>
        <w:t>1</w:t>
      </w:r>
      <w:r>
        <w:rPr>
          <w:rFonts w:hint="eastAsia" w:ascii="宋体" w:hAnsi="宋体" w:eastAsia="宋体" w:cs="宋体"/>
          <w:b w:val="0"/>
          <w:color w:val="auto"/>
          <w:sz w:val="24"/>
          <w:szCs w:val="24"/>
        </w:rPr>
        <w:t>月15日至1</w:t>
      </w:r>
      <w:r>
        <w:rPr>
          <w:rFonts w:hint="eastAsia" w:ascii="宋体" w:hAnsi="宋体" w:eastAsia="宋体" w:cs="宋体"/>
          <w:b w:val="0"/>
          <w:color w:val="auto"/>
          <w:sz w:val="24"/>
          <w:szCs w:val="24"/>
          <w:lang w:val="en-US" w:eastAsia="zh-CN"/>
        </w:rPr>
        <w:t>1</w:t>
      </w:r>
      <w:r>
        <w:rPr>
          <w:rFonts w:hint="eastAsia" w:ascii="宋体" w:hAnsi="宋体" w:eastAsia="宋体" w:cs="宋体"/>
          <w:b w:val="0"/>
          <w:color w:val="auto"/>
          <w:sz w:val="24"/>
          <w:szCs w:val="24"/>
        </w:rPr>
        <w:t>月17日，共3天，每天6小时；</w:t>
      </w:r>
    </w:p>
    <w:p w14:paraId="6BE3BFA2">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eastAsia="宋体" w:cs="宋体"/>
          <w:b w:val="0"/>
          <w:color w:val="auto"/>
          <w:sz w:val="24"/>
          <w:szCs w:val="24"/>
          <w:lang w:val="en-US" w:eastAsia="zh-CN"/>
        </w:rPr>
        <w:t>3.</w:t>
      </w:r>
      <w:r>
        <w:rPr>
          <w:rFonts w:hint="eastAsia" w:ascii="宋体" w:hAnsi="宋体" w:eastAsia="宋体" w:cs="宋体"/>
          <w:b w:val="0"/>
          <w:color w:val="auto"/>
          <w:sz w:val="24"/>
          <w:szCs w:val="24"/>
        </w:rPr>
        <w:t>生涯体验周阶段：2026年11月</w:t>
      </w:r>
      <w:r>
        <w:rPr>
          <w:rFonts w:hint="eastAsia" w:ascii="宋体" w:hAnsi="宋体" w:eastAsia="宋体" w:cs="宋体"/>
          <w:b w:val="0"/>
          <w:color w:val="auto"/>
          <w:sz w:val="24"/>
          <w:szCs w:val="24"/>
          <w:lang w:val="en-US" w:eastAsia="zh-CN"/>
        </w:rPr>
        <w:t>18</w:t>
      </w:r>
      <w:r>
        <w:rPr>
          <w:rFonts w:hint="eastAsia" w:ascii="宋体" w:hAnsi="宋体" w:eastAsia="宋体" w:cs="宋体"/>
          <w:b w:val="0"/>
          <w:color w:val="auto"/>
          <w:sz w:val="24"/>
          <w:szCs w:val="24"/>
        </w:rPr>
        <w:t>日至11月2</w:t>
      </w:r>
      <w:r>
        <w:rPr>
          <w:rFonts w:hint="eastAsia" w:ascii="宋体" w:hAnsi="宋体" w:eastAsia="宋体" w:cs="宋体"/>
          <w:b w:val="0"/>
          <w:color w:val="auto"/>
          <w:sz w:val="24"/>
          <w:szCs w:val="24"/>
          <w:lang w:val="en-US" w:eastAsia="zh-CN"/>
        </w:rPr>
        <w:t>2</w:t>
      </w:r>
      <w:r>
        <w:rPr>
          <w:rFonts w:hint="eastAsia" w:ascii="宋体" w:hAnsi="宋体" w:eastAsia="宋体" w:cs="宋体"/>
          <w:b w:val="0"/>
          <w:color w:val="auto"/>
          <w:sz w:val="24"/>
          <w:szCs w:val="24"/>
        </w:rPr>
        <w:t>日，共5天，每天6小时；</w:t>
      </w:r>
    </w:p>
    <w:p w14:paraId="3C486392">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eastAsia="宋体" w:cs="宋体"/>
          <w:b w:val="0"/>
          <w:color w:val="auto"/>
          <w:sz w:val="24"/>
          <w:szCs w:val="24"/>
          <w:lang w:val="en-US" w:eastAsia="zh-CN"/>
        </w:rPr>
        <w:t>4.</w:t>
      </w:r>
      <w:r>
        <w:rPr>
          <w:rFonts w:hint="eastAsia" w:ascii="宋体" w:hAnsi="宋体" w:eastAsia="宋体" w:cs="宋体"/>
          <w:b w:val="0"/>
          <w:color w:val="auto"/>
          <w:sz w:val="24"/>
          <w:szCs w:val="24"/>
        </w:rPr>
        <w:t>总结反馈阶段：活动结束后按</w:t>
      </w:r>
      <w:r>
        <w:rPr>
          <w:rFonts w:hint="eastAsia" w:ascii="宋体" w:hAnsi="宋体" w:eastAsia="宋体" w:cs="宋体"/>
          <w:b w:val="0"/>
          <w:color w:val="auto"/>
          <w:sz w:val="24"/>
          <w:szCs w:val="24"/>
          <w:lang w:eastAsia="zh-CN"/>
        </w:rPr>
        <w:t>采购人</w:t>
      </w:r>
      <w:r>
        <w:rPr>
          <w:rFonts w:hint="eastAsia" w:ascii="宋体" w:hAnsi="宋体" w:eastAsia="宋体" w:cs="宋体"/>
          <w:b w:val="0"/>
          <w:color w:val="auto"/>
          <w:sz w:val="24"/>
          <w:szCs w:val="24"/>
        </w:rPr>
        <w:t>要求时限提交整体调研报告与专业解决方案。</w:t>
      </w:r>
    </w:p>
    <w:p w14:paraId="086D3A12">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lang w:val="en-US" w:eastAsia="zh-CN"/>
        </w:rPr>
        <w:t>八</w:t>
      </w: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rPr>
        <w:t>服务承诺</w:t>
      </w:r>
    </w:p>
    <w:p w14:paraId="4BD6772E">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eastAsia="宋体" w:cs="宋体"/>
          <w:b w:val="0"/>
          <w:color w:val="auto"/>
          <w:sz w:val="24"/>
          <w:szCs w:val="24"/>
          <w:lang w:val="en-US" w:eastAsia="zh-CN"/>
        </w:rPr>
        <w:t>1.</w:t>
      </w:r>
      <w:r>
        <w:rPr>
          <w:rFonts w:hint="eastAsia" w:ascii="宋体" w:hAnsi="宋体" w:eastAsia="宋体" w:cs="宋体"/>
          <w:b w:val="0"/>
          <w:color w:val="auto"/>
          <w:sz w:val="24"/>
          <w:szCs w:val="24"/>
        </w:rPr>
        <w:t>现场督导服务：安排项目负责人到活动现场进行指导，与</w:t>
      </w:r>
      <w:r>
        <w:rPr>
          <w:rFonts w:hint="eastAsia" w:ascii="宋体" w:hAnsi="宋体" w:eastAsia="宋体" w:cs="宋体"/>
          <w:b w:val="0"/>
          <w:color w:val="auto"/>
          <w:sz w:val="24"/>
          <w:szCs w:val="24"/>
          <w:lang w:eastAsia="zh-CN"/>
        </w:rPr>
        <w:t>采购人</w:t>
      </w:r>
      <w:r>
        <w:rPr>
          <w:rFonts w:hint="eastAsia" w:ascii="宋体" w:hAnsi="宋体" w:eastAsia="宋体" w:cs="宋体"/>
          <w:b w:val="0"/>
          <w:color w:val="auto"/>
          <w:sz w:val="24"/>
          <w:szCs w:val="24"/>
        </w:rPr>
        <w:t>面对面交流。项目负责人现场指导志愿者、查看活动现场，并辅助确认、活动开展现场指导与督导、解答活动中所涉及到的细节问题。到场执行的项目人员，应具备同类型项目的执行经验。</w:t>
      </w:r>
    </w:p>
    <w:p w14:paraId="39C7ADBF">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eastAsia="宋体" w:cs="宋体"/>
          <w:b w:val="0"/>
          <w:color w:val="auto"/>
          <w:sz w:val="24"/>
          <w:szCs w:val="24"/>
          <w:lang w:val="en-US" w:eastAsia="zh-CN"/>
        </w:rPr>
        <w:t>2.</w:t>
      </w:r>
      <w:r>
        <w:rPr>
          <w:rFonts w:hint="eastAsia" w:ascii="宋体" w:hAnsi="宋体" w:eastAsia="宋体" w:cs="宋体"/>
          <w:b w:val="0"/>
          <w:color w:val="auto"/>
          <w:sz w:val="24"/>
          <w:szCs w:val="24"/>
        </w:rPr>
        <w:t>志愿者培训服务：为活动的志愿者（活动关主）进行系统的培训，确保志愿者能熟悉原理，并讲解清晰，并向</w:t>
      </w:r>
      <w:r>
        <w:rPr>
          <w:rFonts w:hint="eastAsia" w:ascii="宋体" w:hAnsi="宋体" w:eastAsia="宋体" w:cs="宋体"/>
          <w:b w:val="0"/>
          <w:color w:val="auto"/>
          <w:sz w:val="24"/>
          <w:szCs w:val="24"/>
          <w:lang w:eastAsia="zh-CN"/>
        </w:rPr>
        <w:t>采购人</w:t>
      </w:r>
      <w:r>
        <w:rPr>
          <w:rFonts w:hint="eastAsia" w:ascii="宋体" w:hAnsi="宋体" w:eastAsia="宋体" w:cs="宋体"/>
          <w:b w:val="0"/>
          <w:color w:val="auto"/>
          <w:sz w:val="24"/>
          <w:szCs w:val="24"/>
        </w:rPr>
        <w:t>活动负责人介绍活动整体流程与细节。</w:t>
      </w:r>
    </w:p>
    <w:p w14:paraId="522BFB00">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rFonts w:hint="eastAsia" w:ascii="宋体" w:hAnsi="宋体" w:eastAsia="宋体" w:cs="宋体"/>
          <w:color w:val="auto"/>
          <w:sz w:val="24"/>
          <w:szCs w:val="24"/>
        </w:rPr>
      </w:pPr>
      <w:r>
        <w:rPr>
          <w:rFonts w:hint="eastAsia" w:ascii="宋体" w:hAnsi="宋体" w:eastAsia="宋体" w:cs="宋体"/>
          <w:b w:val="0"/>
          <w:color w:val="auto"/>
          <w:sz w:val="24"/>
          <w:szCs w:val="24"/>
          <w:lang w:val="en-US" w:eastAsia="zh-CN"/>
        </w:rPr>
        <w:t>3.</w:t>
      </w:r>
      <w:r>
        <w:rPr>
          <w:rFonts w:hint="eastAsia" w:ascii="宋体" w:hAnsi="宋体" w:eastAsia="宋体" w:cs="宋体"/>
          <w:b w:val="0"/>
          <w:color w:val="auto"/>
          <w:sz w:val="24"/>
          <w:szCs w:val="24"/>
        </w:rPr>
        <w:t>报告与数据服务：活动结束后，成交供应商需要对</w:t>
      </w:r>
      <w:r>
        <w:rPr>
          <w:rFonts w:hint="eastAsia" w:ascii="宋体" w:hAnsi="宋体" w:eastAsia="宋体" w:cs="宋体"/>
          <w:b w:val="0"/>
          <w:color w:val="auto"/>
          <w:sz w:val="24"/>
          <w:szCs w:val="24"/>
          <w:lang w:eastAsia="zh-CN"/>
        </w:rPr>
        <w:t>采购人</w:t>
      </w:r>
      <w:r>
        <w:rPr>
          <w:rFonts w:hint="eastAsia" w:ascii="宋体" w:hAnsi="宋体" w:eastAsia="宋体" w:cs="宋体"/>
          <w:b w:val="0"/>
          <w:color w:val="auto"/>
          <w:sz w:val="24"/>
          <w:szCs w:val="24"/>
        </w:rPr>
        <w:t>提供生涯体验周和就业体验周活动整体调研报告，并给学校提供专业解决方案，为学校后期学生工作提供理论依据及数据支撑。</w:t>
      </w:r>
    </w:p>
    <w:p w14:paraId="332879DB">
      <w:pPr>
        <w:keepNext w:val="0"/>
        <w:keepLines w:val="0"/>
        <w:pageBreakBefore w:val="0"/>
        <w:widowControl w:val="0"/>
        <w:kinsoku/>
        <w:wordWrap/>
        <w:overflowPunct/>
        <w:topLinePunct w:val="0"/>
        <w:autoSpaceDE/>
        <w:autoSpaceDN/>
        <w:bidi w:val="0"/>
        <w:adjustRightInd/>
        <w:snapToGrid/>
        <w:spacing w:line="400" w:lineRule="exact"/>
        <w:ind w:firstLine="640"/>
        <w:jc w:val="both"/>
        <w:textAlignment w:val="auto"/>
        <w:rPr>
          <w:color w:val="auto"/>
        </w:rPr>
      </w:pPr>
      <w:r>
        <w:rPr>
          <w:rFonts w:hint="eastAsia" w:ascii="宋体" w:hAnsi="宋体" w:eastAsia="宋体" w:cs="宋体"/>
          <w:b w:val="0"/>
          <w:color w:val="auto"/>
          <w:sz w:val="24"/>
          <w:szCs w:val="24"/>
          <w:lang w:val="en-US" w:eastAsia="zh-CN"/>
        </w:rPr>
        <w:t>4.</w:t>
      </w:r>
      <w:r>
        <w:rPr>
          <w:rFonts w:hint="eastAsia" w:ascii="宋体" w:hAnsi="宋体" w:eastAsia="宋体" w:cs="宋体"/>
          <w:b w:val="0"/>
          <w:color w:val="auto"/>
          <w:sz w:val="24"/>
          <w:szCs w:val="24"/>
        </w:rPr>
        <w:t>技术保障服务：活动期间提供AI大数据平台技术保障，确保线上测评系统稳定运行，学生可实时获取测评结果与报告。</w:t>
      </w:r>
    </w:p>
    <w:p w14:paraId="3D209CDA">
      <w:pPr>
        <w:pStyle w:val="42"/>
        <w:jc w:val="both"/>
        <w:outlineLvl w:val="2"/>
        <w:rPr>
          <w:rFonts w:hint="eastAsia" w:asciiTheme="minorEastAsia" w:hAnsiTheme="minorEastAsia" w:eastAsiaTheme="minorEastAsia" w:cstheme="minorEastAsia"/>
          <w:b/>
          <w:bCs/>
          <w:color w:val="auto"/>
          <w:sz w:val="24"/>
          <w:highlight w:val="none"/>
          <w:lang w:eastAsia="zh-CN"/>
        </w:rPr>
      </w:pPr>
      <w:r>
        <w:rPr>
          <w:rFonts w:hint="eastAsia" w:asciiTheme="minorEastAsia" w:hAnsiTheme="minorEastAsia" w:eastAsiaTheme="minorEastAsia" w:cstheme="minorEastAsia"/>
          <w:b/>
          <w:color w:val="auto"/>
          <w:sz w:val="28"/>
          <w:highlight w:val="none"/>
          <w:lang w:val="en-US" w:eastAsia="zh-CN"/>
        </w:rPr>
        <w:t>三</w:t>
      </w:r>
      <w:r>
        <w:rPr>
          <w:rFonts w:hint="eastAsia" w:asciiTheme="minorEastAsia" w:hAnsiTheme="minorEastAsia" w:eastAsiaTheme="minorEastAsia" w:cstheme="minorEastAsia"/>
          <w:b/>
          <w:color w:val="auto"/>
          <w:sz w:val="28"/>
          <w:highlight w:val="none"/>
        </w:rPr>
        <w:t>、商务要求（以</w:t>
      </w:r>
      <w:r>
        <w:rPr>
          <w:rFonts w:hint="eastAsia" w:asciiTheme="minorEastAsia" w:hAnsiTheme="minorEastAsia" w:eastAsiaTheme="minorEastAsia" w:cstheme="minorEastAsia"/>
          <w:b/>
          <w:color w:val="auto"/>
          <w:sz w:val="28"/>
          <w:highlight w:val="none"/>
          <w:lang w:val="en-US" w:eastAsia="zh-CN"/>
        </w:rPr>
        <w:t>下</w:t>
      </w:r>
      <w:r>
        <w:rPr>
          <w:rFonts w:hint="eastAsia" w:asciiTheme="minorEastAsia" w:hAnsiTheme="minorEastAsia" w:eastAsiaTheme="minorEastAsia" w:cstheme="minorEastAsia"/>
          <w:b/>
          <w:color w:val="auto"/>
          <w:sz w:val="28"/>
          <w:highlight w:val="none"/>
        </w:rPr>
        <w:t>内容为不允许负偏离的实质性要求）</w:t>
      </w:r>
    </w:p>
    <w:tbl>
      <w:tblPr>
        <w:tblStyle w:val="16"/>
        <w:tblW w:w="968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1"/>
        <w:gridCol w:w="2407"/>
        <w:gridCol w:w="6573"/>
      </w:tblGrid>
      <w:tr w14:paraId="7F45E0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tcPr>
          <w:p w14:paraId="601BF2E9">
            <w:pPr>
              <w:pStyle w:val="42"/>
              <w:spacing w:line="360" w:lineRule="auto"/>
              <w:jc w:val="center"/>
              <w:rPr>
                <w:rFonts w:hint="eastAsia" w:asciiTheme="minorEastAsia" w:hAnsiTheme="minorEastAsia" w:eastAsiaTheme="minorEastAsia" w:cstheme="minorEastAsia"/>
                <w:color w:val="auto"/>
                <w:sz w:val="24"/>
                <w:szCs w:val="24"/>
                <w:highlight w:val="none"/>
              </w:rPr>
            </w:pPr>
            <w:bookmarkStart w:id="0" w:name="_Toc22007"/>
            <w:r>
              <w:rPr>
                <w:rFonts w:hint="eastAsia" w:asciiTheme="minorEastAsia" w:hAnsiTheme="minorEastAsia" w:eastAsiaTheme="minorEastAsia" w:cstheme="minorEastAsia"/>
                <w:color w:val="auto"/>
                <w:sz w:val="24"/>
                <w:szCs w:val="24"/>
                <w:highlight w:val="none"/>
              </w:rPr>
              <w:t>序号</w:t>
            </w:r>
          </w:p>
        </w:tc>
        <w:tc>
          <w:tcPr>
            <w:tcW w:w="2407" w:type="dxa"/>
          </w:tcPr>
          <w:p w14:paraId="7DB211B5">
            <w:pPr>
              <w:pStyle w:val="42"/>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类型</w:t>
            </w:r>
          </w:p>
        </w:tc>
        <w:tc>
          <w:tcPr>
            <w:tcW w:w="6573" w:type="dxa"/>
          </w:tcPr>
          <w:p w14:paraId="1F6AF8FB">
            <w:pPr>
              <w:pStyle w:val="42"/>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要求</w:t>
            </w:r>
          </w:p>
        </w:tc>
      </w:tr>
      <w:tr w14:paraId="0C90EC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tcPr>
          <w:p w14:paraId="22182A81">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2407" w:type="dxa"/>
          </w:tcPr>
          <w:p w14:paraId="714FF451">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交</w:t>
            </w:r>
            <w:r>
              <w:rPr>
                <w:rFonts w:hint="eastAsia" w:asciiTheme="minorEastAsia" w:hAnsiTheme="minorEastAsia" w:cstheme="minorEastAsia"/>
                <w:color w:val="auto"/>
                <w:sz w:val="24"/>
                <w:szCs w:val="24"/>
                <w:highlight w:val="none"/>
                <w:lang w:eastAsia="zh-CN"/>
              </w:rPr>
              <w:t>付</w:t>
            </w:r>
            <w:r>
              <w:rPr>
                <w:rFonts w:hint="eastAsia" w:asciiTheme="minorEastAsia" w:hAnsiTheme="minorEastAsia" w:eastAsiaTheme="minorEastAsia" w:cstheme="minorEastAsia"/>
                <w:color w:val="auto"/>
                <w:sz w:val="24"/>
                <w:szCs w:val="24"/>
                <w:highlight w:val="none"/>
              </w:rPr>
              <w:t>时间</w:t>
            </w:r>
          </w:p>
        </w:tc>
        <w:tc>
          <w:tcPr>
            <w:tcW w:w="6573" w:type="dxa"/>
          </w:tcPr>
          <w:p w14:paraId="6E3E2FA4">
            <w:pPr>
              <w:pStyle w:val="42"/>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4"/>
                <w:szCs w:val="24"/>
                <w:highlight w:val="none"/>
                <w:lang w:eastAsia="zh-CN"/>
              </w:rPr>
            </w:pPr>
            <w:r>
              <w:rPr>
                <w:rFonts w:hint="eastAsia" w:asciiTheme="minorEastAsia" w:hAnsiTheme="minorEastAsia" w:cstheme="minorEastAsia"/>
                <w:color w:val="auto"/>
                <w:sz w:val="24"/>
                <w:szCs w:val="24"/>
                <w:highlight w:val="none"/>
                <w:lang w:eastAsia="zh-CN"/>
              </w:rPr>
              <w:t>活动时间为2026年11月15日至11月22日，共8天，每天6小时，其中</w:t>
            </w:r>
            <w:r>
              <w:rPr>
                <w:rFonts w:hint="eastAsia" w:asciiTheme="minorEastAsia" w:hAnsiTheme="minorEastAsia" w:cstheme="minorEastAsia"/>
                <w:color w:val="auto"/>
                <w:sz w:val="24"/>
                <w:szCs w:val="24"/>
                <w:highlight w:val="none"/>
                <w:lang w:val="en-US" w:eastAsia="zh-CN"/>
              </w:rPr>
              <w:t>11</w:t>
            </w:r>
            <w:r>
              <w:rPr>
                <w:rFonts w:hint="eastAsia" w:asciiTheme="minorEastAsia" w:hAnsiTheme="minorEastAsia" w:cstheme="minorEastAsia"/>
                <w:color w:val="auto"/>
                <w:sz w:val="24"/>
                <w:szCs w:val="24"/>
                <w:highlight w:val="none"/>
                <w:lang w:eastAsia="zh-CN"/>
              </w:rPr>
              <w:t>月15日至1</w:t>
            </w:r>
            <w:r>
              <w:rPr>
                <w:rFonts w:hint="eastAsia" w:asciiTheme="minorEastAsia" w:hAnsiTheme="minorEastAsia" w:cstheme="minorEastAsia"/>
                <w:color w:val="auto"/>
                <w:sz w:val="24"/>
                <w:szCs w:val="24"/>
                <w:highlight w:val="none"/>
                <w:lang w:val="en-US" w:eastAsia="zh-CN"/>
              </w:rPr>
              <w:t>1</w:t>
            </w:r>
            <w:r>
              <w:rPr>
                <w:rFonts w:hint="eastAsia" w:asciiTheme="minorEastAsia" w:hAnsiTheme="minorEastAsia" w:cstheme="minorEastAsia"/>
                <w:color w:val="auto"/>
                <w:sz w:val="24"/>
                <w:szCs w:val="24"/>
                <w:highlight w:val="none"/>
                <w:lang w:eastAsia="zh-CN"/>
              </w:rPr>
              <w:t>月17日（3天）开展就业体验周活动，11月</w:t>
            </w:r>
            <w:r>
              <w:rPr>
                <w:rFonts w:hint="eastAsia" w:asciiTheme="minorEastAsia" w:hAnsiTheme="minorEastAsia" w:cstheme="minorEastAsia"/>
                <w:color w:val="auto"/>
                <w:sz w:val="24"/>
                <w:szCs w:val="24"/>
                <w:highlight w:val="none"/>
                <w:lang w:val="en-US" w:eastAsia="zh-CN"/>
              </w:rPr>
              <w:t>18</w:t>
            </w:r>
            <w:r>
              <w:rPr>
                <w:rFonts w:hint="eastAsia" w:asciiTheme="minorEastAsia" w:hAnsiTheme="minorEastAsia" w:cstheme="minorEastAsia"/>
                <w:color w:val="auto"/>
                <w:sz w:val="24"/>
                <w:szCs w:val="24"/>
                <w:highlight w:val="none"/>
                <w:lang w:eastAsia="zh-CN"/>
              </w:rPr>
              <w:t>日至11月2</w:t>
            </w:r>
            <w:r>
              <w:rPr>
                <w:rFonts w:hint="eastAsia" w:asciiTheme="minorEastAsia" w:hAnsiTheme="minorEastAsia" w:cstheme="minorEastAsia"/>
                <w:color w:val="auto"/>
                <w:sz w:val="24"/>
                <w:szCs w:val="24"/>
                <w:highlight w:val="none"/>
                <w:lang w:val="en-US" w:eastAsia="zh-CN"/>
              </w:rPr>
              <w:t>2</w:t>
            </w:r>
            <w:r>
              <w:rPr>
                <w:rFonts w:hint="eastAsia" w:asciiTheme="minorEastAsia" w:hAnsiTheme="minorEastAsia" w:cstheme="minorEastAsia"/>
                <w:color w:val="auto"/>
                <w:sz w:val="24"/>
                <w:szCs w:val="24"/>
                <w:highlight w:val="none"/>
                <w:lang w:eastAsia="zh-CN"/>
              </w:rPr>
              <w:t>日（5天）开展生涯体验周活动。成交供应商须在活动开始前完成全部物料制作、志愿者培训及现场布展工作，活动结束后按要求提交总结报告。</w:t>
            </w:r>
          </w:p>
        </w:tc>
      </w:tr>
      <w:tr w14:paraId="6507B7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tcPr>
          <w:p w14:paraId="13D29D1E">
            <w:pPr>
              <w:pStyle w:val="42"/>
              <w:spacing w:line="360" w:lineRule="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2</w:t>
            </w:r>
          </w:p>
        </w:tc>
        <w:tc>
          <w:tcPr>
            <w:tcW w:w="2407" w:type="dxa"/>
          </w:tcPr>
          <w:p w14:paraId="7B319F93">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交</w:t>
            </w:r>
            <w:r>
              <w:rPr>
                <w:rFonts w:hint="eastAsia" w:asciiTheme="minorEastAsia" w:hAnsiTheme="minorEastAsia" w:cstheme="minorEastAsia"/>
                <w:color w:val="auto"/>
                <w:sz w:val="24"/>
                <w:szCs w:val="24"/>
                <w:highlight w:val="none"/>
                <w:lang w:eastAsia="zh-CN"/>
              </w:rPr>
              <w:t>付</w:t>
            </w:r>
            <w:r>
              <w:rPr>
                <w:rFonts w:hint="eastAsia" w:asciiTheme="minorEastAsia" w:hAnsiTheme="minorEastAsia" w:eastAsiaTheme="minorEastAsia" w:cstheme="minorEastAsia"/>
                <w:color w:val="auto"/>
                <w:sz w:val="24"/>
                <w:szCs w:val="24"/>
                <w:highlight w:val="none"/>
              </w:rPr>
              <w:t>地点</w:t>
            </w:r>
          </w:p>
        </w:tc>
        <w:tc>
          <w:tcPr>
            <w:tcW w:w="6573" w:type="dxa"/>
          </w:tcPr>
          <w:p w14:paraId="6D460668">
            <w:pPr>
              <w:pStyle w:val="42"/>
              <w:spacing w:line="360" w:lineRule="auto"/>
              <w:rPr>
                <w:rFonts w:hint="eastAsia" w:asciiTheme="minorEastAsia" w:hAnsiTheme="minorEastAsia" w:cstheme="minorEastAsia"/>
                <w:color w:val="auto"/>
                <w:sz w:val="24"/>
                <w:szCs w:val="24"/>
                <w:highlight w:val="none"/>
                <w:lang w:eastAsia="zh-CN"/>
              </w:rPr>
            </w:pPr>
            <w:r>
              <w:rPr>
                <w:rFonts w:hint="eastAsia" w:asciiTheme="minorEastAsia" w:hAnsiTheme="minorEastAsia" w:cstheme="minorEastAsia"/>
                <w:color w:val="auto"/>
                <w:sz w:val="24"/>
                <w:szCs w:val="24"/>
                <w:highlight w:val="none"/>
                <w:lang w:eastAsia="zh-CN"/>
              </w:rPr>
              <w:t>龙岩学院校内，户外开放广场或带顶棚的体育馆。</w:t>
            </w:r>
          </w:p>
        </w:tc>
      </w:tr>
      <w:tr w14:paraId="1811A3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tcPr>
          <w:p w14:paraId="51801025">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2407" w:type="dxa"/>
          </w:tcPr>
          <w:p w14:paraId="58746726">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交</w:t>
            </w:r>
            <w:r>
              <w:rPr>
                <w:rFonts w:hint="eastAsia" w:asciiTheme="minorEastAsia" w:hAnsiTheme="minorEastAsia" w:cstheme="minorEastAsia"/>
                <w:color w:val="auto"/>
                <w:sz w:val="24"/>
                <w:szCs w:val="24"/>
                <w:highlight w:val="none"/>
                <w:lang w:eastAsia="zh-CN"/>
              </w:rPr>
              <w:t>付</w:t>
            </w:r>
            <w:r>
              <w:rPr>
                <w:rFonts w:hint="eastAsia" w:asciiTheme="minorEastAsia" w:hAnsiTheme="minorEastAsia" w:eastAsiaTheme="minorEastAsia" w:cstheme="minorEastAsia"/>
                <w:color w:val="auto"/>
                <w:sz w:val="24"/>
                <w:szCs w:val="24"/>
                <w:highlight w:val="none"/>
              </w:rPr>
              <w:t>条件</w:t>
            </w:r>
          </w:p>
        </w:tc>
        <w:tc>
          <w:tcPr>
            <w:tcW w:w="6573" w:type="dxa"/>
          </w:tcPr>
          <w:p w14:paraId="3B3F3642">
            <w:pPr>
              <w:pStyle w:val="42"/>
              <w:spacing w:before="75" w:after="75"/>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按本采购文件要求验收合格</w:t>
            </w:r>
            <w:r>
              <w:rPr>
                <w:rFonts w:hint="eastAsia" w:asciiTheme="minorEastAsia" w:hAnsiTheme="minorEastAsia" w:eastAsiaTheme="minorEastAsia" w:cstheme="minorEastAsia"/>
                <w:color w:val="auto"/>
                <w:sz w:val="24"/>
                <w:szCs w:val="24"/>
                <w:highlight w:val="none"/>
              </w:rPr>
              <w:t>。</w:t>
            </w:r>
          </w:p>
        </w:tc>
      </w:tr>
      <w:tr w14:paraId="1D7421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tcPr>
          <w:p w14:paraId="4AE9783E">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p>
        </w:tc>
        <w:tc>
          <w:tcPr>
            <w:tcW w:w="2407" w:type="dxa"/>
          </w:tcPr>
          <w:p w14:paraId="7C3A4A16">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是否邀请</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验收</w:t>
            </w:r>
          </w:p>
        </w:tc>
        <w:tc>
          <w:tcPr>
            <w:tcW w:w="6573" w:type="dxa"/>
          </w:tcPr>
          <w:p w14:paraId="23A3EEF9">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不邀请</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验收</w:t>
            </w:r>
          </w:p>
        </w:tc>
      </w:tr>
      <w:tr w14:paraId="250874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tcPr>
          <w:p w14:paraId="05D92891">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w:t>
            </w:r>
          </w:p>
        </w:tc>
        <w:tc>
          <w:tcPr>
            <w:tcW w:w="2407" w:type="dxa"/>
          </w:tcPr>
          <w:p w14:paraId="560FE75D">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履约验收方式</w:t>
            </w:r>
          </w:p>
        </w:tc>
        <w:tc>
          <w:tcPr>
            <w:tcW w:w="6573" w:type="dxa"/>
          </w:tcPr>
          <w:p w14:paraId="588B280E">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1、按</w:t>
            </w:r>
            <w:r>
              <w:rPr>
                <w:rFonts w:hint="eastAsia" w:asciiTheme="minorEastAsia" w:hAnsiTheme="minorEastAsia" w:eastAsiaTheme="minorEastAsia" w:cstheme="minorEastAsia"/>
                <w:color w:val="auto"/>
                <w:sz w:val="24"/>
                <w:szCs w:val="24"/>
                <w:highlight w:val="none"/>
                <w:lang w:eastAsia="zh-CN"/>
              </w:rPr>
              <w:t>磋商</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响应</w:t>
            </w:r>
            <w:r>
              <w:rPr>
                <w:rFonts w:hint="eastAsia" w:asciiTheme="minorEastAsia" w:hAnsiTheme="minorEastAsia" w:eastAsiaTheme="minorEastAsia" w:cstheme="minorEastAsia"/>
                <w:color w:val="auto"/>
                <w:sz w:val="24"/>
                <w:szCs w:val="24"/>
                <w:highlight w:val="none"/>
              </w:rPr>
              <w:t>文件和合同进行验收。</w:t>
            </w:r>
          </w:p>
        </w:tc>
      </w:tr>
      <w:tr w14:paraId="223809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tcPr>
          <w:p w14:paraId="231FEEFE">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w:t>
            </w:r>
          </w:p>
        </w:tc>
        <w:tc>
          <w:tcPr>
            <w:tcW w:w="2407" w:type="dxa"/>
          </w:tcPr>
          <w:p w14:paraId="531710EC">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合同支付方式</w:t>
            </w:r>
          </w:p>
        </w:tc>
        <w:tc>
          <w:tcPr>
            <w:tcW w:w="6573" w:type="dxa"/>
          </w:tcPr>
          <w:p w14:paraId="6AB1B1FB">
            <w:pPr>
              <w:snapToGrid w:val="0"/>
              <w:spacing w:line="360" w:lineRule="auto"/>
              <w:jc w:val="left"/>
              <w:rPr>
                <w:rFonts w:hint="default"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项目验收合格后，达到付款条件起30日内，支付合同总金额的100%</w:t>
            </w:r>
          </w:p>
        </w:tc>
      </w:tr>
      <w:tr w14:paraId="6B7A4E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6" w:hRule="atLeast"/>
        </w:trPr>
        <w:tc>
          <w:tcPr>
            <w:tcW w:w="701" w:type="dxa"/>
          </w:tcPr>
          <w:p w14:paraId="03CB1384">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w:t>
            </w:r>
          </w:p>
        </w:tc>
        <w:tc>
          <w:tcPr>
            <w:tcW w:w="2407" w:type="dxa"/>
          </w:tcPr>
          <w:p w14:paraId="69BA17A5">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履约保证金</w:t>
            </w:r>
          </w:p>
        </w:tc>
        <w:tc>
          <w:tcPr>
            <w:tcW w:w="6573" w:type="dxa"/>
          </w:tcPr>
          <w:p w14:paraId="34ADE723">
            <w:pPr>
              <w:pStyle w:val="42"/>
              <w:widowControl w:val="0"/>
              <w:spacing w:line="360" w:lineRule="auto"/>
              <w:ind w:firstLine="0" w:firstLineChars="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不收取</w:t>
            </w:r>
            <w:r>
              <w:rPr>
                <w:rFonts w:hint="eastAsia" w:asciiTheme="minorEastAsia" w:hAnsiTheme="minorEastAsia" w:eastAsiaTheme="minorEastAsia" w:cstheme="minorEastAsia"/>
                <w:color w:val="auto"/>
                <w:sz w:val="24"/>
                <w:szCs w:val="24"/>
                <w:highlight w:val="none"/>
              </w:rPr>
              <w:t>。</w:t>
            </w:r>
          </w:p>
        </w:tc>
      </w:tr>
      <w:bookmarkEnd w:id="0"/>
    </w:tbl>
    <w:p w14:paraId="652D9B66">
      <w:pPr>
        <w:pStyle w:val="45"/>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8、违约责任</w:t>
      </w:r>
    </w:p>
    <w:p w14:paraId="27BB897B">
      <w:pPr>
        <w:pStyle w:val="45"/>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8.1成交供应商须严格依照采购文件、响应文件及双方签订合同约定的服务范围、质量标准、工期要求履约；任一项未达标、未按期完工或验收不合格的，采购人有权暂缓、拒付该项合同价款，由此产生的全部损失由成交供应商自行承担。</w:t>
      </w:r>
    </w:p>
    <w:p w14:paraId="6315058D">
      <w:pPr>
        <w:pStyle w:val="45"/>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default"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备注：成交供应商须按“商务条件”的要求实施，否则视同违约，采购人有权单方面取消合同。</w:t>
      </w:r>
    </w:p>
    <w:p w14:paraId="6000003D">
      <w:pPr>
        <w:rPr>
          <w:rStyle w:val="19"/>
          <w:rFonts w:hint="eastAsia" w:asciiTheme="minorEastAsia" w:hAnsiTheme="minorEastAsia" w:eastAsiaTheme="minorEastAsia" w:cstheme="minorEastAsia"/>
          <w:color w:val="auto"/>
          <w:sz w:val="28"/>
          <w:szCs w:val="28"/>
          <w:highlight w:val="none"/>
        </w:rPr>
      </w:pPr>
      <w:r>
        <w:rPr>
          <w:rStyle w:val="19"/>
          <w:rFonts w:hint="eastAsia" w:asciiTheme="minorEastAsia" w:hAnsiTheme="minorEastAsia" w:eastAsiaTheme="minorEastAsia" w:cstheme="minorEastAsia"/>
          <w:color w:val="auto"/>
          <w:sz w:val="28"/>
          <w:szCs w:val="28"/>
          <w:highlight w:val="none"/>
        </w:rPr>
        <w:br w:type="page"/>
      </w:r>
    </w:p>
    <w:p w14:paraId="5E0DF4A6">
      <w:pPr>
        <w:pStyle w:val="13"/>
        <w:keepNext w:val="0"/>
        <w:keepLines w:val="0"/>
        <w:widowControl/>
        <w:suppressLineNumbers w:val="0"/>
        <w:spacing w:before="75" w:beforeAutospacing="0" w:after="75" w:afterAutospacing="0" w:line="360" w:lineRule="auto"/>
        <w:ind w:left="0" w:right="0" w:firstLine="0"/>
        <w:jc w:val="center"/>
        <w:rPr>
          <w:rStyle w:val="19"/>
          <w:rFonts w:hint="eastAsia" w:asciiTheme="minorEastAsia" w:hAnsiTheme="minorEastAsia" w:eastAsiaTheme="minorEastAsia" w:cstheme="minorEastAsia"/>
          <w:color w:val="auto"/>
          <w:sz w:val="28"/>
          <w:szCs w:val="28"/>
          <w:highlight w:val="none"/>
        </w:rPr>
      </w:pPr>
      <w:r>
        <w:rPr>
          <w:rStyle w:val="19"/>
          <w:rFonts w:hint="eastAsia" w:asciiTheme="minorEastAsia" w:hAnsiTheme="minorEastAsia" w:eastAsiaTheme="minorEastAsia" w:cstheme="minorEastAsia"/>
          <w:color w:val="auto"/>
          <w:sz w:val="28"/>
          <w:szCs w:val="28"/>
          <w:highlight w:val="none"/>
        </w:rPr>
        <w:t>第四章  </w:t>
      </w:r>
      <w:r>
        <w:rPr>
          <w:rStyle w:val="19"/>
          <w:rFonts w:hint="eastAsia" w:asciiTheme="minorEastAsia" w:hAnsiTheme="minorEastAsia" w:eastAsiaTheme="minorEastAsia" w:cstheme="minorEastAsia"/>
          <w:color w:val="auto"/>
          <w:sz w:val="28"/>
          <w:szCs w:val="28"/>
          <w:highlight w:val="none"/>
          <w:lang w:eastAsia="zh-CN"/>
        </w:rPr>
        <w:t>龙岩学院</w:t>
      </w:r>
      <w:r>
        <w:rPr>
          <w:rStyle w:val="19"/>
          <w:rFonts w:hint="eastAsia" w:asciiTheme="minorEastAsia" w:hAnsiTheme="minorEastAsia" w:eastAsiaTheme="minorEastAsia" w:cstheme="minorEastAsia"/>
          <w:color w:val="auto"/>
          <w:sz w:val="28"/>
          <w:szCs w:val="28"/>
          <w:highlight w:val="none"/>
        </w:rPr>
        <w:t>采购合同</w:t>
      </w:r>
    </w:p>
    <w:p w14:paraId="34ADFE98">
      <w:pPr>
        <w:pStyle w:val="13"/>
        <w:widowControl/>
        <w:spacing w:before="75" w:beforeAutospacing="0" w:after="75" w:afterAutospacing="0" w:line="360" w:lineRule="auto"/>
        <w:jc w:val="center"/>
        <w:rPr>
          <w:rFonts w:ascii="宋体" w:hAnsi="宋体" w:cs="宋体"/>
          <w:color w:val="auto"/>
        </w:rPr>
      </w:pPr>
      <w:r>
        <w:rPr>
          <w:rStyle w:val="19"/>
          <w:rFonts w:hint="eastAsia" w:ascii="宋体" w:hAnsi="宋体" w:cs="宋体"/>
          <w:color w:val="auto"/>
        </w:rPr>
        <w:t>编制说明</w:t>
      </w:r>
    </w:p>
    <w:p w14:paraId="237FCC8B">
      <w:pPr>
        <w:pStyle w:val="13"/>
        <w:widowControl/>
        <w:spacing w:before="0" w:beforeAutospacing="0" w:after="0" w:afterAutospacing="0" w:line="400" w:lineRule="exact"/>
        <w:rPr>
          <w:rFonts w:ascii="宋体" w:hAnsi="宋体" w:cs="宋体"/>
          <w:color w:val="auto"/>
        </w:rPr>
      </w:pPr>
      <w:r>
        <w:rPr>
          <w:rStyle w:val="19"/>
          <w:rFonts w:hint="eastAsia" w:ascii="宋体" w:hAnsi="宋体" w:cs="宋体"/>
          <w:color w:val="auto"/>
        </w:rPr>
        <w:t>1、签订合同应遵守《中华人民共和国民法典》和相关的法律法规。</w:t>
      </w:r>
    </w:p>
    <w:p w14:paraId="6143D425">
      <w:pPr>
        <w:pStyle w:val="13"/>
        <w:widowControl/>
        <w:spacing w:before="0" w:beforeAutospacing="0" w:after="0" w:afterAutospacing="0" w:line="400" w:lineRule="exact"/>
        <w:rPr>
          <w:rFonts w:ascii="宋体" w:hAnsi="宋体" w:cs="宋体"/>
          <w:color w:val="auto"/>
        </w:rPr>
      </w:pPr>
      <w:r>
        <w:rPr>
          <w:rStyle w:val="19"/>
          <w:rFonts w:hint="eastAsia" w:ascii="宋体" w:hAnsi="宋体" w:cs="宋体"/>
          <w:color w:val="auto"/>
        </w:rPr>
        <w:t>2、签订合同时，采购人与中标供应商应结合采购内容填列相应内容。双方均不得变更或调整；未作规定的，双方可通过友好协商进行约定。</w:t>
      </w:r>
    </w:p>
    <w:p w14:paraId="43C843A8">
      <w:pPr>
        <w:pStyle w:val="13"/>
        <w:widowControl/>
        <w:spacing w:before="0" w:beforeAutospacing="0" w:after="0" w:afterAutospacing="0" w:line="400" w:lineRule="exact"/>
        <w:rPr>
          <w:rStyle w:val="19"/>
          <w:rFonts w:ascii="宋体" w:hAnsi="宋体" w:cs="宋体"/>
          <w:color w:val="auto"/>
        </w:rPr>
      </w:pPr>
      <w:r>
        <w:rPr>
          <w:rStyle w:val="19"/>
          <w:rFonts w:hint="eastAsia" w:ascii="宋体" w:hAnsi="宋体" w:cs="宋体"/>
          <w:color w:val="auto"/>
        </w:rPr>
        <w:t>3、国家有关部门对若干合同有规范文本的，可使用相应合同文本。</w:t>
      </w:r>
    </w:p>
    <w:p w14:paraId="0C703045">
      <w:pPr>
        <w:pStyle w:val="13"/>
        <w:widowControl/>
        <w:spacing w:before="75" w:beforeAutospacing="0" w:after="75" w:afterAutospacing="0" w:line="360" w:lineRule="auto"/>
        <w:rPr>
          <w:rFonts w:ascii="宋体" w:hAnsi="宋体" w:cs="宋体"/>
          <w:color w:val="auto"/>
        </w:rPr>
      </w:pPr>
    </w:p>
    <w:p w14:paraId="5A0A580B">
      <w:pPr>
        <w:pStyle w:val="13"/>
        <w:widowControl/>
        <w:spacing w:before="75" w:beforeAutospacing="0" w:after="75" w:afterAutospacing="0" w:line="360" w:lineRule="auto"/>
        <w:rPr>
          <w:rFonts w:ascii="宋体" w:hAnsi="宋体" w:cs="宋体"/>
          <w:color w:val="auto"/>
          <w:u w:val="single"/>
        </w:rPr>
      </w:pPr>
      <w:r>
        <w:rPr>
          <w:rFonts w:hint="eastAsia" w:ascii="宋体" w:hAnsi="宋体" w:cs="宋体"/>
          <w:color w:val="auto"/>
        </w:rPr>
        <w:t>甲方：</w:t>
      </w:r>
      <w:r>
        <w:rPr>
          <w:rFonts w:hint="eastAsia" w:ascii="宋体" w:hAnsi="宋体" w:cs="宋体"/>
          <w:color w:val="auto"/>
          <w:u w:val="single"/>
        </w:rPr>
        <w:t xml:space="preserve">                          </w:t>
      </w:r>
    </w:p>
    <w:p w14:paraId="495FF075">
      <w:pPr>
        <w:pStyle w:val="13"/>
        <w:widowControl/>
        <w:spacing w:before="75" w:beforeAutospacing="0" w:after="75" w:afterAutospacing="0" w:line="360" w:lineRule="auto"/>
        <w:rPr>
          <w:rFonts w:ascii="宋体" w:hAnsi="宋体" w:cs="宋体"/>
          <w:color w:val="auto"/>
        </w:rPr>
      </w:pPr>
      <w:bookmarkStart w:id="1" w:name="tip_risk_bookmark_1"/>
      <w:r>
        <w:rPr>
          <w:rFonts w:hint="eastAsia" w:ascii="宋体" w:hAnsi="宋体" w:cs="宋体"/>
          <w:color w:val="auto"/>
        </w:rPr>
        <w:t>乙方：</w:t>
      </w:r>
      <w:bookmarkEnd w:id="1"/>
      <w:r>
        <w:rPr>
          <w:rFonts w:hint="eastAsia" w:ascii="宋体" w:hAnsi="宋体" w:cs="宋体"/>
          <w:color w:val="auto"/>
          <w:u w:val="single"/>
        </w:rPr>
        <w:t xml:space="preserve">                          </w:t>
      </w:r>
    </w:p>
    <w:p w14:paraId="1CFEBF15">
      <w:pPr>
        <w:pStyle w:val="13"/>
        <w:widowControl/>
        <w:spacing w:before="75" w:beforeAutospacing="0" w:after="75" w:afterAutospacing="0" w:line="360" w:lineRule="auto"/>
        <w:rPr>
          <w:rFonts w:ascii="宋体" w:hAnsi="宋体" w:cs="宋体"/>
          <w:color w:val="auto"/>
        </w:rPr>
      </w:pPr>
      <w:r>
        <w:rPr>
          <w:rFonts w:hint="eastAsia" w:ascii="宋体" w:hAnsi="宋体" w:cs="宋体"/>
          <w:color w:val="auto"/>
        </w:rPr>
        <w:t> </w:t>
      </w:r>
    </w:p>
    <w:p w14:paraId="0135F9C1">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根据项目编号为</w:t>
      </w:r>
      <w:r>
        <w:rPr>
          <w:rFonts w:hint="eastAsia" w:ascii="宋体" w:hAnsi="宋体" w:cs="宋体"/>
          <w:color w:val="auto"/>
          <w:u w:val="single"/>
        </w:rPr>
        <w:t xml:space="preserve"> （项目编号）  </w:t>
      </w:r>
      <w:r>
        <w:rPr>
          <w:rFonts w:hint="eastAsia" w:ascii="宋体" w:hAnsi="宋体" w:cs="宋体"/>
          <w:color w:val="auto"/>
        </w:rPr>
        <w:t>的</w:t>
      </w:r>
      <w:r>
        <w:rPr>
          <w:rFonts w:hint="eastAsia" w:ascii="宋体" w:hAnsi="宋体" w:cs="宋体"/>
          <w:color w:val="auto"/>
          <w:u w:val="single"/>
        </w:rPr>
        <w:t xml:space="preserve"> （项目名称） </w:t>
      </w:r>
      <w:r>
        <w:rPr>
          <w:rFonts w:hint="eastAsia" w:ascii="宋体" w:hAnsi="宋体" w:cs="宋体"/>
          <w:color w:val="auto"/>
        </w:rPr>
        <w:t>（以下简称：“本项目”）的采购结果，乙方为中标供应商。现经甲乙双方友好协商，就以下事项达成一致并签订本合同：</w:t>
      </w:r>
    </w:p>
    <w:p w14:paraId="2AEBA49B">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1、下列合同文件是构成本合同不可分割的部分：</w:t>
      </w:r>
    </w:p>
    <w:p w14:paraId="6429D964">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1.1合同条款及附件；</w:t>
      </w:r>
    </w:p>
    <w:p w14:paraId="204A299A">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1.2采购文件（如：招标文件、投标文件及谈判文件、谈判响应文件、磋商文件、磋商响应文件、询价通知书及询价响应文件、网上竞价文件）；</w:t>
      </w:r>
    </w:p>
    <w:p w14:paraId="0B9CD70F">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1.3其他文件或材料：□无。□</w:t>
      </w:r>
      <w:r>
        <w:rPr>
          <w:rFonts w:hint="eastAsia" w:ascii="宋体" w:hAnsi="宋体" w:cs="宋体"/>
          <w:color w:val="auto"/>
          <w:u w:val="single"/>
        </w:rPr>
        <w:t>（按照实际情况编制填写 ）</w:t>
      </w:r>
      <w:r>
        <w:rPr>
          <w:rFonts w:hint="eastAsia" w:ascii="宋体" w:hAnsi="宋体" w:cs="宋体"/>
          <w:color w:val="auto"/>
        </w:rPr>
        <w:t>。</w:t>
      </w:r>
    </w:p>
    <w:p w14:paraId="7F7E13A1">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2、合同标的</w:t>
      </w:r>
    </w:p>
    <w:p w14:paraId="582014E4">
      <w:pPr>
        <w:pStyle w:val="13"/>
        <w:widowControl/>
        <w:spacing w:before="0" w:beforeAutospacing="0" w:after="0" w:afterAutospacing="0" w:line="480" w:lineRule="exact"/>
        <w:ind w:firstLine="480"/>
        <w:rPr>
          <w:rFonts w:ascii="宋体" w:hAnsi="宋体" w:cs="宋体"/>
          <w:color w:val="auto"/>
        </w:rPr>
      </w:pPr>
      <w:bookmarkStart w:id="2" w:name="tip_risk_bookmark_26"/>
      <w:r>
        <w:rPr>
          <w:rFonts w:hint="eastAsia" w:ascii="宋体" w:hAnsi="宋体" w:cs="宋体"/>
          <w:color w:val="auto"/>
          <w:u w:val="single"/>
        </w:rPr>
        <w:t>（按照实际情况编制填写，可以是表格或文字描述）</w:t>
      </w:r>
      <w:r>
        <w:rPr>
          <w:rFonts w:hint="eastAsia" w:ascii="宋体" w:hAnsi="宋体" w:cs="宋体"/>
          <w:color w:val="auto"/>
        </w:rPr>
        <w:t>。</w:t>
      </w:r>
      <w:bookmarkEnd w:id="2"/>
    </w:p>
    <w:p w14:paraId="28490150">
      <w:pPr>
        <w:pStyle w:val="13"/>
        <w:widowControl/>
        <w:spacing w:before="0" w:beforeAutospacing="0" w:after="0" w:afterAutospacing="0" w:line="480" w:lineRule="exact"/>
        <w:ind w:firstLine="480"/>
        <w:rPr>
          <w:rFonts w:ascii="宋体" w:hAnsi="宋体" w:cs="宋体"/>
          <w:color w:val="auto"/>
        </w:rPr>
      </w:pPr>
      <w:bookmarkStart w:id="3" w:name="tip_risk_bookmark_2"/>
      <w:r>
        <w:rPr>
          <w:rFonts w:hint="eastAsia" w:ascii="宋体" w:hAnsi="宋体" w:cs="宋体"/>
          <w:color w:val="auto"/>
        </w:rPr>
        <w:t>3、合同总金额</w:t>
      </w:r>
    </w:p>
    <w:p w14:paraId="0D43DA36">
      <w:pPr>
        <w:pStyle w:val="13"/>
        <w:widowControl/>
        <w:spacing w:before="0" w:beforeAutospacing="0" w:after="0" w:afterAutospacing="0" w:line="480" w:lineRule="exact"/>
        <w:ind w:firstLine="480"/>
        <w:rPr>
          <w:rFonts w:ascii="宋体" w:hAnsi="宋体" w:cs="宋体"/>
          <w:color w:val="auto"/>
        </w:rPr>
      </w:pPr>
      <w:bookmarkStart w:id="4" w:name="tip_risk_bookmark_27"/>
      <w:r>
        <w:rPr>
          <w:rFonts w:hint="eastAsia" w:ascii="宋体" w:hAnsi="宋体" w:cs="宋体"/>
          <w:color w:val="auto"/>
        </w:rPr>
        <w:t>3.1本合同不含税总金额为</w:t>
      </w:r>
      <w:r>
        <w:rPr>
          <w:rFonts w:hint="eastAsia" w:ascii="宋体" w:hAnsi="宋体" w:cs="宋体"/>
          <w:color w:val="auto"/>
          <w:u w:val="single"/>
        </w:rPr>
        <w:t xml:space="preserve">￥      </w:t>
      </w:r>
      <w:r>
        <w:rPr>
          <w:rFonts w:hint="eastAsia" w:ascii="宋体" w:hAnsi="宋体" w:cs="宋体"/>
          <w:color w:val="auto"/>
        </w:rPr>
        <w:t xml:space="preserve"> 元（大写：人民币</w:t>
      </w:r>
      <w:r>
        <w:rPr>
          <w:rFonts w:hint="eastAsia" w:ascii="宋体" w:hAnsi="宋体" w:cs="宋体"/>
          <w:color w:val="auto"/>
          <w:u w:val="single"/>
        </w:rPr>
        <w:t xml:space="preserve">      元整），</w:t>
      </w:r>
      <w:r>
        <w:rPr>
          <w:rFonts w:hint="eastAsia" w:ascii="宋体" w:hAnsi="宋体" w:cs="宋体"/>
          <w:color w:val="auto"/>
        </w:rPr>
        <w:t>增值税发票票面税率：</w:t>
      </w:r>
      <w:r>
        <w:rPr>
          <w:rFonts w:hint="eastAsia" w:ascii="宋体" w:hAnsi="宋体" w:cs="宋体"/>
          <w:color w:val="auto"/>
          <w:u w:val="single"/>
        </w:rPr>
        <w:t xml:space="preserve">    </w:t>
      </w:r>
      <w:r>
        <w:rPr>
          <w:rFonts w:hint="eastAsia" w:ascii="宋体" w:hAnsi="宋体" w:cs="宋体"/>
          <w:color w:val="auto"/>
        </w:rPr>
        <w:t>%，含税总金额为￥</w:t>
      </w:r>
      <w:r>
        <w:rPr>
          <w:rFonts w:hint="eastAsia" w:ascii="宋体" w:hAnsi="宋体" w:cs="宋体"/>
          <w:color w:val="auto"/>
          <w:u w:val="single"/>
        </w:rPr>
        <w:t xml:space="preserve">     </w:t>
      </w:r>
      <w:r>
        <w:rPr>
          <w:rFonts w:hint="eastAsia" w:ascii="宋体" w:hAnsi="宋体" w:cs="宋体"/>
          <w:color w:val="auto"/>
        </w:rPr>
        <w:t>元（大写：人民币</w:t>
      </w:r>
      <w:r>
        <w:rPr>
          <w:rFonts w:hint="eastAsia" w:ascii="宋体" w:hAnsi="宋体" w:cs="宋体"/>
          <w:color w:val="auto"/>
          <w:u w:val="single"/>
        </w:rPr>
        <w:t xml:space="preserve">     </w:t>
      </w:r>
      <w:r>
        <w:rPr>
          <w:rFonts w:hint="eastAsia" w:ascii="宋体" w:hAnsi="宋体" w:cs="宋体"/>
          <w:color w:val="auto"/>
        </w:rPr>
        <w:t>元整）。</w:t>
      </w:r>
      <w:bookmarkEnd w:id="3"/>
      <w:bookmarkEnd w:id="4"/>
    </w:p>
    <w:p w14:paraId="4F47B3F4">
      <w:pPr>
        <w:pStyle w:val="13"/>
        <w:widowControl/>
        <w:spacing w:before="0" w:beforeAutospacing="0" w:after="0" w:afterAutospacing="0" w:line="480" w:lineRule="exact"/>
        <w:ind w:firstLine="480"/>
        <w:rPr>
          <w:rFonts w:ascii="宋体" w:hAnsi="宋体" w:cs="宋体"/>
          <w:color w:val="auto"/>
        </w:rPr>
      </w:pPr>
      <w:bookmarkStart w:id="5" w:name="tip_risk_bookmark_3"/>
      <w:r>
        <w:rPr>
          <w:rFonts w:hint="eastAsia" w:ascii="宋体" w:hAnsi="宋体" w:cs="宋体"/>
          <w:color w:val="auto"/>
        </w:rPr>
        <w:t>4、合同标的交付时间、地点和条件</w:t>
      </w:r>
    </w:p>
    <w:p w14:paraId="60FD2AAE">
      <w:pPr>
        <w:pStyle w:val="13"/>
        <w:widowControl/>
        <w:spacing w:before="0" w:beforeAutospacing="0" w:after="0" w:afterAutospacing="0" w:line="480" w:lineRule="exact"/>
        <w:ind w:firstLine="480"/>
        <w:rPr>
          <w:rFonts w:ascii="宋体" w:hAnsi="宋体" w:cs="宋体"/>
          <w:color w:val="auto"/>
        </w:rPr>
      </w:pPr>
      <w:bookmarkStart w:id="6" w:name="tip_risk_bookmark_28"/>
      <w:r>
        <w:rPr>
          <w:rFonts w:hint="eastAsia" w:ascii="宋体" w:hAnsi="宋体" w:cs="宋体"/>
          <w:color w:val="auto"/>
        </w:rPr>
        <w:t>4.1交付时间：；</w:t>
      </w:r>
    </w:p>
    <w:p w14:paraId="4C4DFA00">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4.2交付地点：；</w:t>
      </w:r>
    </w:p>
    <w:p w14:paraId="07054E7F">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4.3交付条件：。</w:t>
      </w:r>
      <w:bookmarkEnd w:id="6"/>
    </w:p>
    <w:p w14:paraId="0C2DA77B">
      <w:pPr>
        <w:pStyle w:val="13"/>
        <w:widowControl/>
        <w:spacing w:before="0" w:beforeAutospacing="0" w:after="0" w:afterAutospacing="0" w:line="480" w:lineRule="exact"/>
        <w:ind w:firstLine="480"/>
        <w:rPr>
          <w:rFonts w:ascii="宋体" w:hAnsi="宋体" w:cs="宋体"/>
          <w:color w:val="auto"/>
        </w:rPr>
      </w:pPr>
      <w:bookmarkStart w:id="7" w:name="tip_risk_bookmark_29"/>
      <w:r>
        <w:rPr>
          <w:rFonts w:hint="eastAsia" w:ascii="宋体" w:hAnsi="宋体" w:cs="宋体"/>
          <w:color w:val="auto"/>
        </w:rPr>
        <w:t>4.4</w:t>
      </w:r>
      <w:r>
        <w:rPr>
          <w:rFonts w:hint="eastAsia"/>
          <w:color w:val="auto"/>
        </w:rPr>
        <w:t>项目指定联系人：甲方</w:t>
      </w:r>
      <w:r>
        <w:rPr>
          <w:rFonts w:hint="eastAsia" w:ascii="宋体" w:hAnsi="宋体" w:cs="宋体"/>
          <w:color w:val="auto"/>
          <w:u w:val="single"/>
        </w:rPr>
        <w:t xml:space="preserve">    </w:t>
      </w:r>
      <w:r>
        <w:rPr>
          <w:rFonts w:hint="eastAsia"/>
          <w:color w:val="auto"/>
        </w:rPr>
        <w:t>，联系方式</w:t>
      </w:r>
      <w:r>
        <w:rPr>
          <w:rFonts w:hint="eastAsia" w:ascii="宋体" w:hAnsi="宋体" w:cs="宋体"/>
          <w:color w:val="auto"/>
          <w:u w:val="single"/>
        </w:rPr>
        <w:t xml:space="preserve">    </w:t>
      </w:r>
      <w:r>
        <w:rPr>
          <w:rFonts w:hint="eastAsia"/>
          <w:color w:val="auto"/>
        </w:rPr>
        <w:t xml:space="preserve"> ；乙方</w:t>
      </w:r>
      <w:r>
        <w:rPr>
          <w:rFonts w:hint="eastAsia" w:ascii="宋体" w:hAnsi="宋体" w:cs="宋体"/>
          <w:color w:val="auto"/>
          <w:u w:val="single"/>
        </w:rPr>
        <w:t xml:space="preserve">    </w:t>
      </w:r>
      <w:r>
        <w:rPr>
          <w:rFonts w:hint="eastAsia"/>
          <w:color w:val="auto"/>
        </w:rPr>
        <w:t>，联系方式：</w:t>
      </w:r>
      <w:r>
        <w:rPr>
          <w:rFonts w:hint="eastAsia" w:ascii="宋体" w:hAnsi="宋体" w:cs="宋体"/>
          <w:color w:val="auto"/>
          <w:u w:val="single"/>
        </w:rPr>
        <w:t xml:space="preserve">    </w:t>
      </w:r>
      <w:r>
        <w:rPr>
          <w:rFonts w:hint="eastAsia"/>
          <w:color w:val="auto"/>
        </w:rPr>
        <w:t>。本合同涉及的所有文书均需指定联系人签字确认，若指定联系人、联系方式发生变更，需提前</w:t>
      </w:r>
      <w:r>
        <w:rPr>
          <w:rFonts w:hint="eastAsia" w:ascii="宋体" w:hAnsi="宋体" w:cs="宋体"/>
          <w:color w:val="auto"/>
          <w:u w:val="single"/>
        </w:rPr>
        <w:t xml:space="preserve">    </w:t>
      </w:r>
      <w:r>
        <w:rPr>
          <w:rFonts w:hint="eastAsia"/>
          <w:color w:val="auto"/>
        </w:rPr>
        <w:t>天以书面方式通知对方，否则视为未变更。</w:t>
      </w:r>
      <w:bookmarkEnd w:id="5"/>
      <w:bookmarkEnd w:id="7"/>
    </w:p>
    <w:p w14:paraId="3E866403">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5、合同标的应符合采购文件的规定或约定，具体如下：</w:t>
      </w:r>
    </w:p>
    <w:p w14:paraId="16BC2B4B">
      <w:pPr>
        <w:pStyle w:val="13"/>
        <w:widowControl/>
        <w:spacing w:before="0" w:beforeAutospacing="0" w:after="0" w:afterAutospacing="0" w:line="480" w:lineRule="exact"/>
        <w:ind w:firstLine="480"/>
        <w:rPr>
          <w:rFonts w:ascii="宋体" w:hAnsi="宋体" w:cs="宋体"/>
          <w:color w:val="auto"/>
        </w:rPr>
      </w:pPr>
      <w:bookmarkStart w:id="8" w:name="tip_risk_bookmark_23"/>
      <w:r>
        <w:rPr>
          <w:rFonts w:hint="eastAsia" w:ascii="宋体" w:hAnsi="宋体" w:cs="宋体"/>
          <w:color w:val="auto"/>
          <w:u w:val="single"/>
        </w:rPr>
        <w:t>（按照实际情况编制填写，可以是表格或文字描述）</w:t>
      </w:r>
      <w:r>
        <w:rPr>
          <w:rFonts w:hint="eastAsia" w:ascii="宋体" w:hAnsi="宋体" w:cs="宋体"/>
          <w:color w:val="auto"/>
        </w:rPr>
        <w:t>。</w:t>
      </w:r>
      <w:bookmarkEnd w:id="8"/>
    </w:p>
    <w:p w14:paraId="467A7D0D">
      <w:pPr>
        <w:pStyle w:val="13"/>
        <w:widowControl/>
        <w:spacing w:before="0" w:beforeAutospacing="0" w:after="0" w:afterAutospacing="0" w:line="480" w:lineRule="exact"/>
        <w:ind w:firstLine="480"/>
        <w:rPr>
          <w:rFonts w:ascii="宋体" w:hAnsi="宋体" w:cs="宋体"/>
          <w:color w:val="auto"/>
        </w:rPr>
      </w:pPr>
      <w:bookmarkStart w:id="9" w:name="tip_risk_bookmark_4"/>
      <w:r>
        <w:rPr>
          <w:rFonts w:hint="eastAsia" w:ascii="宋体" w:hAnsi="宋体" w:cs="宋体"/>
          <w:color w:val="auto"/>
        </w:rPr>
        <w:t>6、验收</w:t>
      </w:r>
    </w:p>
    <w:p w14:paraId="29D517F8">
      <w:pPr>
        <w:pStyle w:val="13"/>
        <w:widowControl/>
        <w:spacing w:before="0" w:beforeAutospacing="0" w:after="0" w:afterAutospacing="0" w:line="480" w:lineRule="exact"/>
        <w:ind w:firstLine="480"/>
        <w:rPr>
          <w:rFonts w:ascii="宋体" w:hAnsi="宋体" w:cs="宋体"/>
          <w:color w:val="auto"/>
        </w:rPr>
      </w:pPr>
      <w:bookmarkStart w:id="10" w:name="tip_risk_bookmark_30"/>
      <w:r>
        <w:rPr>
          <w:rFonts w:hint="eastAsia" w:ascii="宋体" w:hAnsi="宋体" w:cs="宋体"/>
          <w:color w:val="auto"/>
        </w:rPr>
        <w:t>6.1验收应按照</w:t>
      </w:r>
      <w:r>
        <w:rPr>
          <w:rFonts w:hint="eastAsia" w:ascii="宋体" w:hAnsi="宋体" w:cs="宋体"/>
          <w:color w:val="auto"/>
          <w:lang w:eastAsia="zh-CN"/>
        </w:rPr>
        <w:t>招标</w:t>
      </w:r>
      <w:r>
        <w:rPr>
          <w:rFonts w:hint="eastAsia" w:ascii="宋体" w:hAnsi="宋体" w:cs="宋体"/>
          <w:color w:val="auto"/>
        </w:rPr>
        <w:t>采购文件的规定或约定进行，具体如下：</w:t>
      </w:r>
    </w:p>
    <w:p w14:paraId="48D97E84">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u w:val="single"/>
        </w:rPr>
        <w:t>（按照实际情况编制填写，可以是表格或文字描述）</w:t>
      </w:r>
      <w:r>
        <w:rPr>
          <w:rFonts w:hint="eastAsia" w:ascii="宋体" w:hAnsi="宋体" w:cs="宋体"/>
          <w:color w:val="auto"/>
        </w:rPr>
        <w:t>。</w:t>
      </w:r>
      <w:bookmarkEnd w:id="10"/>
    </w:p>
    <w:p w14:paraId="2C0EE737">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6.2本项目是否邀请其他供应商参与验收：</w:t>
      </w:r>
    </w:p>
    <w:p w14:paraId="52F6919F">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□不邀请。□邀请，具体如下：</w:t>
      </w:r>
      <w:r>
        <w:rPr>
          <w:rFonts w:hint="eastAsia" w:ascii="宋体" w:hAnsi="宋体" w:cs="宋体"/>
          <w:color w:val="auto"/>
          <w:u w:val="single"/>
        </w:rPr>
        <w:t>（按照采购内容规定填写）</w:t>
      </w:r>
      <w:r>
        <w:rPr>
          <w:rFonts w:hint="eastAsia" w:ascii="宋体" w:hAnsi="宋体" w:cs="宋体"/>
          <w:color w:val="auto"/>
        </w:rPr>
        <w:t>。</w:t>
      </w:r>
      <w:bookmarkEnd w:id="9"/>
    </w:p>
    <w:p w14:paraId="3986E8A9">
      <w:pPr>
        <w:pStyle w:val="13"/>
        <w:widowControl/>
        <w:spacing w:before="0" w:beforeAutospacing="0" w:after="0" w:afterAutospacing="0" w:line="480" w:lineRule="exact"/>
        <w:ind w:firstLine="480"/>
        <w:rPr>
          <w:rFonts w:ascii="宋体" w:hAnsi="宋体" w:cs="宋体"/>
          <w:color w:val="auto"/>
        </w:rPr>
      </w:pPr>
      <w:bookmarkStart w:id="11" w:name="tip_risk_bookmark_5"/>
      <w:r>
        <w:rPr>
          <w:rFonts w:hint="eastAsia" w:ascii="宋体" w:hAnsi="宋体" w:cs="宋体"/>
          <w:color w:val="auto"/>
        </w:rPr>
        <w:t>7、合同款项的支付应按照采购文件的规定进行，具体如下：</w:t>
      </w:r>
    </w:p>
    <w:p w14:paraId="604257AC">
      <w:pPr>
        <w:pStyle w:val="13"/>
        <w:widowControl/>
        <w:spacing w:line="480" w:lineRule="exact"/>
        <w:ind w:firstLine="480"/>
        <w:rPr>
          <w:rFonts w:ascii="宋体" w:hAnsi="宋体" w:cs="宋体"/>
          <w:color w:val="auto"/>
        </w:rPr>
      </w:pPr>
      <w:r>
        <w:rPr>
          <w:rFonts w:hint="eastAsia" w:ascii="宋体" w:hAnsi="宋体" w:cs="宋体"/>
          <w:color w:val="auto"/>
          <w:lang w:bidi="ar"/>
        </w:rPr>
        <w:t>甲方每次付款前，乙方应向甲方开具等额、合法、有效的增值税专用发票。若乙方未按时提供发票或提供的发票不符合国家税务规定的，甲方有权顺延付款且不承担任何逾期付款的违约责任。</w:t>
      </w:r>
      <w:bookmarkEnd w:id="11"/>
    </w:p>
    <w:p w14:paraId="3FFFD352">
      <w:pPr>
        <w:pStyle w:val="13"/>
        <w:widowControl/>
        <w:spacing w:before="0" w:beforeAutospacing="0" w:after="0" w:afterAutospacing="0" w:line="480" w:lineRule="exact"/>
        <w:ind w:firstLine="480"/>
        <w:rPr>
          <w:rFonts w:ascii="宋体" w:hAnsi="宋体" w:cs="宋体"/>
          <w:color w:val="auto"/>
        </w:rPr>
      </w:pPr>
      <w:bookmarkStart w:id="12" w:name="tip_risk_bookmark_7"/>
      <w:r>
        <w:rPr>
          <w:rFonts w:hint="eastAsia" w:ascii="宋体" w:hAnsi="宋体" w:cs="宋体"/>
          <w:color w:val="auto"/>
        </w:rPr>
        <w:t>8、履约保证金</w:t>
      </w:r>
    </w:p>
    <w:p w14:paraId="5FB8C755">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□无。□有，具体如下：</w:t>
      </w:r>
      <w:r>
        <w:rPr>
          <w:rFonts w:hint="eastAsia" w:ascii="宋体" w:hAnsi="宋体" w:cs="宋体"/>
          <w:color w:val="auto"/>
          <w:u w:val="single"/>
        </w:rPr>
        <w:t>（按照采购文件规定填写）</w:t>
      </w:r>
      <w:r>
        <w:rPr>
          <w:rFonts w:hint="eastAsia" w:ascii="宋体" w:hAnsi="宋体" w:cs="宋体"/>
          <w:color w:val="auto"/>
        </w:rPr>
        <w:t>。</w:t>
      </w:r>
      <w:bookmarkEnd w:id="12"/>
    </w:p>
    <w:p w14:paraId="2352D518">
      <w:pPr>
        <w:pStyle w:val="13"/>
        <w:widowControl/>
        <w:spacing w:before="0" w:beforeAutospacing="0" w:after="0" w:afterAutospacing="0" w:line="480" w:lineRule="exact"/>
        <w:ind w:firstLine="480"/>
        <w:rPr>
          <w:rFonts w:ascii="宋体" w:hAnsi="宋体" w:cs="宋体"/>
          <w:color w:val="auto"/>
        </w:rPr>
      </w:pPr>
      <w:bookmarkStart w:id="13" w:name="tip_risk_bookmark_8"/>
      <w:r>
        <w:rPr>
          <w:rFonts w:hint="eastAsia" w:ascii="宋体" w:hAnsi="宋体" w:cs="宋体"/>
          <w:color w:val="auto"/>
        </w:rPr>
        <w:t>9、合同有效期</w:t>
      </w:r>
    </w:p>
    <w:p w14:paraId="1647C485">
      <w:pPr>
        <w:pStyle w:val="13"/>
        <w:widowControl/>
        <w:spacing w:before="0" w:beforeAutospacing="0" w:after="0" w:afterAutospacing="0" w:line="480" w:lineRule="exact"/>
        <w:ind w:firstLine="480"/>
        <w:rPr>
          <w:rFonts w:ascii="宋体" w:hAnsi="宋体" w:cs="宋体"/>
          <w:color w:val="auto"/>
        </w:rPr>
      </w:pPr>
      <w:bookmarkStart w:id="14" w:name="tip_risk_bookmark_25"/>
      <w:r>
        <w:rPr>
          <w:rFonts w:hint="eastAsia" w:ascii="宋体" w:hAnsi="宋体" w:cs="宋体"/>
          <w:color w:val="auto"/>
          <w:u w:val="single"/>
        </w:rPr>
        <w:t>（按照实际情况编制填写，可以是表格或文字描述）</w:t>
      </w:r>
      <w:r>
        <w:rPr>
          <w:rFonts w:hint="eastAsia" w:ascii="宋体" w:hAnsi="宋体" w:cs="宋体"/>
          <w:color w:val="auto"/>
        </w:rPr>
        <w:t>。</w:t>
      </w:r>
      <w:bookmarkEnd w:id="13"/>
      <w:bookmarkEnd w:id="14"/>
    </w:p>
    <w:p w14:paraId="4B4327F7">
      <w:pPr>
        <w:pStyle w:val="13"/>
        <w:widowControl/>
        <w:spacing w:before="0" w:beforeAutospacing="0" w:after="0" w:afterAutospacing="0" w:line="480" w:lineRule="exact"/>
        <w:ind w:firstLine="480"/>
        <w:rPr>
          <w:rFonts w:ascii="宋体" w:hAnsi="宋体" w:cs="宋体"/>
          <w:color w:val="auto"/>
        </w:rPr>
      </w:pPr>
      <w:bookmarkStart w:id="15" w:name="tip_risk_bookmark_9"/>
      <w:bookmarkStart w:id="16" w:name="tip_risk_bookmark_31"/>
      <w:r>
        <w:rPr>
          <w:rFonts w:hint="eastAsia" w:ascii="宋体" w:hAnsi="宋体" w:cs="宋体"/>
          <w:color w:val="auto"/>
        </w:rPr>
        <w:t>10、违约责任</w:t>
      </w:r>
    </w:p>
    <w:p w14:paraId="1FDBDC9D">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u w:val="single"/>
        </w:rPr>
        <w:t>（按照实际情况编制填写，可以是表格或文字描述）</w:t>
      </w:r>
      <w:r>
        <w:rPr>
          <w:rFonts w:hint="eastAsia" w:ascii="宋体" w:hAnsi="宋体" w:cs="宋体"/>
          <w:color w:val="auto"/>
        </w:rPr>
        <w:t>。</w:t>
      </w:r>
      <w:bookmarkEnd w:id="15"/>
      <w:bookmarkEnd w:id="16"/>
    </w:p>
    <w:p w14:paraId="0540921D">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11、 保密条款</w:t>
      </w:r>
    </w:p>
    <w:p w14:paraId="2505E41A">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11.1 除非根据法律要求或为履行本合同项下的义务必须向第三人披露，各方同意并约束其有关知情人对本合同的所有条款及有关信息、事项及各种数据，对方当事人的各种保密信息等严格保密，否则因此导致不利后果由泄露方承担。</w:t>
      </w:r>
    </w:p>
    <w:p w14:paraId="294F32E4">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11.2 本合同的无效、解除、终止均不影响本条款的有效。</w:t>
      </w:r>
    </w:p>
    <w:p w14:paraId="5AB6BAE7">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12、知识产权</w:t>
      </w:r>
    </w:p>
    <w:p w14:paraId="3CED8574">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12.1乙方提供的采购标的应符合国家知识产权法律、法规的规定且非假冒伪劣品；乙方还应保证甲方不受到第三方关于侵犯知识产权及专利权、商标权、</w:t>
      </w:r>
      <w:r>
        <w:rPr>
          <w:rFonts w:hint="eastAsia" w:ascii="宋体" w:hAnsi="宋体"/>
          <w:color w:val="auto"/>
        </w:rPr>
        <w:t>著作权</w:t>
      </w:r>
      <w:r>
        <w:rPr>
          <w:rFonts w:hint="eastAsia" w:ascii="宋体" w:hAnsi="宋体" w:cs="宋体"/>
          <w:color w:val="auto"/>
        </w:rPr>
        <w:t>或工业设计权等知识产权方面的指控，若任何第三方提出此方面指控均与甲方无关，乙方应与第三方交涉，并承担可能发生的一切法律责任、费用和后果；若甲方因此而遭致损失，则乙方应赔偿该损失。</w:t>
      </w:r>
    </w:p>
    <w:p w14:paraId="279B200F">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12.2若乙方提供的采购标的不符合国家知识产权法律、法规的规定或被有关主管机关认定为假冒伪劣品，则乙方中标资格将被取消；甲方还将按照有关法律、法规和规章的规定进行处理，具体如下：</w:t>
      </w:r>
      <w:r>
        <w:rPr>
          <w:rFonts w:hint="eastAsia" w:ascii="宋体" w:hAnsi="宋体" w:cs="宋体"/>
          <w:color w:val="auto"/>
          <w:u w:val="single"/>
        </w:rPr>
        <w:t>（按照实际情况编制填写）</w:t>
      </w:r>
      <w:r>
        <w:rPr>
          <w:rFonts w:hint="eastAsia" w:ascii="宋体" w:hAnsi="宋体" w:cs="宋体"/>
          <w:color w:val="auto"/>
        </w:rPr>
        <w:t>。</w:t>
      </w:r>
    </w:p>
    <w:p w14:paraId="18D8EF7D">
      <w:pPr>
        <w:pStyle w:val="13"/>
        <w:widowControl/>
        <w:spacing w:before="0" w:beforeAutospacing="0" w:after="0" w:afterAutospacing="0" w:line="480" w:lineRule="exact"/>
        <w:ind w:left="480"/>
        <w:rPr>
          <w:rFonts w:ascii="宋体" w:hAnsi="宋体" w:cs="宋体"/>
          <w:color w:val="auto"/>
        </w:rPr>
      </w:pPr>
      <w:r>
        <w:rPr>
          <w:rFonts w:hint="eastAsia" w:ascii="宋体" w:hAnsi="宋体" w:cs="宋体"/>
          <w:color w:val="auto"/>
        </w:rPr>
        <w:t>13、解决争议的方法</w:t>
      </w:r>
    </w:p>
    <w:p w14:paraId="798F36C3">
      <w:pPr>
        <w:pStyle w:val="13"/>
        <w:widowControl/>
        <w:spacing w:before="0" w:beforeAutospacing="0" w:after="0" w:afterAutospacing="0" w:line="480" w:lineRule="exact"/>
        <w:ind w:firstLine="480"/>
        <w:rPr>
          <w:rFonts w:hint="eastAsia"/>
          <w:color w:val="auto"/>
        </w:rPr>
      </w:pPr>
      <w:r>
        <w:rPr>
          <w:rFonts w:hint="eastAsia" w:ascii="宋体" w:hAnsi="宋体" w:cs="宋体"/>
          <w:color w:val="auto"/>
        </w:rPr>
        <w:t>13.1若协商解决不成，则通过下列途径之一解决：</w:t>
      </w:r>
    </w:p>
    <w:p w14:paraId="77A05BB4">
      <w:pPr>
        <w:spacing w:line="480" w:lineRule="exact"/>
        <w:ind w:firstLine="480" w:firstLineChars="200"/>
        <w:rPr>
          <w:rFonts w:ascii="宋体" w:hAnsi="宋体" w:cs="宋体"/>
          <w:color w:val="auto"/>
          <w:kern w:val="0"/>
          <w:sz w:val="24"/>
          <w:lang w:bidi="ar"/>
        </w:rPr>
      </w:pPr>
      <w:r>
        <w:rPr>
          <w:rFonts w:hint="eastAsia" w:ascii="宋体" w:hAnsi="宋体" w:cs="宋体"/>
          <w:color w:val="auto"/>
          <w:kern w:val="0"/>
          <w:sz w:val="24"/>
          <w:lang w:bidi="ar"/>
        </w:rPr>
        <w:t>1 因执行本合同所发生的或者与本合同有关的一切争议，双方应首先采取友好协商的方式解决该争议。如果不能协商一致，任何一方有权向甲方所在地有管辖权的人民法院提起诉讼，违约方除了承担本合同及采购文件约定的违约责任外，还需承担守约方为解决本合同争议而支出的诉讼费、律师费、公证鉴定费、调查取证费等一切费用。</w:t>
      </w:r>
    </w:p>
    <w:p w14:paraId="31340ADC">
      <w:pPr>
        <w:spacing w:line="480" w:lineRule="exact"/>
        <w:ind w:firstLine="480" w:firstLineChars="200"/>
        <w:rPr>
          <w:rFonts w:ascii="宋体" w:hAnsi="宋体" w:cs="宋体"/>
          <w:color w:val="auto"/>
          <w:kern w:val="0"/>
          <w:sz w:val="24"/>
          <w:lang w:bidi="ar"/>
        </w:rPr>
      </w:pPr>
      <w:r>
        <w:rPr>
          <w:rFonts w:hint="eastAsia" w:ascii="宋体" w:hAnsi="宋体" w:cs="宋体"/>
          <w:color w:val="auto"/>
          <w:kern w:val="0"/>
          <w:sz w:val="24"/>
          <w:lang w:bidi="ar"/>
        </w:rPr>
        <w:t>2 除非另有协议，诉诸法院裁判不影响合同双方继续履行合同项下争议以外部分各自的义务。</w:t>
      </w:r>
    </w:p>
    <w:p w14:paraId="29F75B1A">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14、不可抗力</w:t>
      </w:r>
    </w:p>
    <w:p w14:paraId="01D1F42C">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14.1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29375E10">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14.2本合同中的不可抗力指不能预见、不能避免、不能克服的客观情况，包括但不限于：自然灾害如地震、台风、洪水、火灾及政府行为、法律规定或其适用的变化或其他任何无法预见、避免或控制的事件。</w:t>
      </w:r>
    </w:p>
    <w:p w14:paraId="22CB5BB9">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15、合同条款</w:t>
      </w:r>
    </w:p>
    <w:p w14:paraId="1FCED61E">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u w:val="single"/>
        </w:rPr>
        <w:t>（按照实际情况编制填写。已确定的采购内容，双方均不得变更或调整；未作规定的，双方可通过友好协商进行约定）</w:t>
      </w:r>
      <w:r>
        <w:rPr>
          <w:rFonts w:hint="eastAsia" w:ascii="宋体" w:hAnsi="宋体" w:cs="宋体"/>
          <w:color w:val="auto"/>
        </w:rPr>
        <w:t>。</w:t>
      </w:r>
    </w:p>
    <w:p w14:paraId="410E80F9">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16、其他约定</w:t>
      </w:r>
    </w:p>
    <w:p w14:paraId="3179AADD">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16.1合同文件与本合同具有同等法律效力。</w:t>
      </w:r>
    </w:p>
    <w:p w14:paraId="67A4C023">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16.2本合同未尽事宜，双方可另行补充。</w:t>
      </w:r>
    </w:p>
    <w:p w14:paraId="03155530">
      <w:pPr>
        <w:pStyle w:val="13"/>
        <w:widowControl/>
        <w:spacing w:before="0" w:beforeAutospacing="0" w:after="0" w:afterAutospacing="0" w:line="480" w:lineRule="exact"/>
        <w:ind w:firstLine="480"/>
        <w:rPr>
          <w:rFonts w:ascii="宋体" w:hAnsi="宋体" w:cs="宋体"/>
          <w:color w:val="auto"/>
        </w:rPr>
      </w:pPr>
      <w:bookmarkStart w:id="17" w:name="tip_risk_bookmark_32"/>
      <w:r>
        <w:rPr>
          <w:rFonts w:hint="eastAsia" w:ascii="宋体" w:hAnsi="宋体" w:cs="宋体"/>
          <w:color w:val="auto"/>
        </w:rPr>
        <w:t>16.3合同生效：本合同自双方签章之日起生效。本合同壹式</w:t>
      </w:r>
      <w:r>
        <w:rPr>
          <w:rFonts w:hint="eastAsia" w:ascii="宋体" w:hAnsi="宋体" w:cs="宋体"/>
          <w:color w:val="auto"/>
          <w:u w:val="single"/>
        </w:rPr>
        <w:t xml:space="preserve">  </w:t>
      </w:r>
      <w:r>
        <w:rPr>
          <w:rFonts w:hint="eastAsia" w:ascii="宋体" w:hAnsi="宋体" w:cs="宋体"/>
          <w:color w:val="auto"/>
        </w:rPr>
        <w:t>份，甲方执</w:t>
      </w:r>
      <w:r>
        <w:rPr>
          <w:rFonts w:hint="eastAsia" w:ascii="宋体" w:hAnsi="宋体" w:cs="宋体"/>
          <w:color w:val="auto"/>
          <w:u w:val="single"/>
        </w:rPr>
        <w:t xml:space="preserve">   </w:t>
      </w:r>
      <w:r>
        <w:rPr>
          <w:rFonts w:hint="eastAsia" w:ascii="宋体" w:hAnsi="宋体" w:cs="宋体"/>
          <w:color w:val="auto"/>
        </w:rPr>
        <w:t>份，乙方执</w:t>
      </w:r>
      <w:r>
        <w:rPr>
          <w:rFonts w:hint="eastAsia" w:ascii="宋体" w:hAnsi="宋体" w:cs="宋体"/>
          <w:color w:val="auto"/>
          <w:u w:val="single"/>
        </w:rPr>
        <w:t xml:space="preserve">   </w:t>
      </w:r>
      <w:r>
        <w:rPr>
          <w:rFonts w:hint="eastAsia" w:ascii="宋体" w:hAnsi="宋体" w:cs="宋体"/>
          <w:color w:val="auto"/>
        </w:rPr>
        <w:t>份，具有同等法律效力。</w:t>
      </w:r>
      <w:bookmarkEnd w:id="17"/>
    </w:p>
    <w:p w14:paraId="5F0A9945">
      <w:pPr>
        <w:pStyle w:val="13"/>
        <w:widowControl/>
        <w:spacing w:before="0" w:beforeAutospacing="0" w:after="0" w:afterAutospacing="0" w:line="480" w:lineRule="exact"/>
        <w:ind w:firstLine="480"/>
        <w:rPr>
          <w:rFonts w:ascii="宋体" w:hAnsi="宋体" w:cs="宋体"/>
          <w:color w:val="auto"/>
        </w:rPr>
      </w:pPr>
      <w:r>
        <w:rPr>
          <w:rFonts w:hint="eastAsia" w:ascii="宋体" w:hAnsi="宋体" w:cs="宋体"/>
          <w:color w:val="auto"/>
        </w:rPr>
        <w:t>16.4其他：□无。□</w:t>
      </w:r>
      <w:r>
        <w:rPr>
          <w:rFonts w:hint="eastAsia" w:ascii="宋体" w:hAnsi="宋体" w:cs="宋体"/>
          <w:color w:val="auto"/>
          <w:u w:val="single"/>
        </w:rPr>
        <w:t>（按照实际情况编制填写需要增加的内容）</w:t>
      </w:r>
      <w:r>
        <w:rPr>
          <w:rFonts w:hint="eastAsia" w:ascii="宋体" w:hAnsi="宋体" w:cs="宋体"/>
          <w:color w:val="auto"/>
        </w:rPr>
        <w:t>。</w:t>
      </w:r>
    </w:p>
    <w:p w14:paraId="7C065CE4">
      <w:pPr>
        <w:pStyle w:val="13"/>
        <w:widowControl/>
        <w:spacing w:before="0" w:beforeAutospacing="0" w:after="0" w:afterAutospacing="0" w:line="480" w:lineRule="exact"/>
        <w:ind w:firstLine="480"/>
        <w:rPr>
          <w:rFonts w:ascii="宋体" w:hAnsi="宋体" w:cs="宋体"/>
          <w:color w:val="auto"/>
        </w:rPr>
      </w:pPr>
    </w:p>
    <w:p w14:paraId="7A640060">
      <w:pPr>
        <w:spacing w:line="360" w:lineRule="auto"/>
        <w:rPr>
          <w:rFonts w:ascii="宋体" w:hAnsi="宋体" w:cs="宋体"/>
          <w:color w:val="auto"/>
          <w:sz w:val="24"/>
        </w:rPr>
      </w:pPr>
      <w:r>
        <w:rPr>
          <w:rFonts w:hint="eastAsia" w:ascii="宋体" w:hAnsi="宋体" w:cs="宋体"/>
          <w:color w:val="auto"/>
          <w:sz w:val="24"/>
        </w:rPr>
        <w:t>（以下无正文）</w:t>
      </w:r>
    </w:p>
    <w:p w14:paraId="4B006244">
      <w:pPr>
        <w:pStyle w:val="3"/>
        <w:tabs>
          <w:tab w:val="left" w:pos="0"/>
        </w:tabs>
        <w:rPr>
          <w:color w:val="auto"/>
        </w:rPr>
      </w:pPr>
    </w:p>
    <w:tbl>
      <w:tblPr>
        <w:tblStyle w:val="17"/>
        <w:tblW w:w="9890" w:type="dxa"/>
        <w:tblInd w:w="-2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90"/>
        <w:gridCol w:w="4800"/>
      </w:tblGrid>
      <w:tr w14:paraId="5A93F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5C6C23D1">
            <w:pPr>
              <w:pStyle w:val="13"/>
              <w:widowControl/>
              <w:spacing w:before="75" w:beforeAutospacing="0" w:after="75" w:afterAutospacing="0" w:line="360" w:lineRule="auto"/>
              <w:rPr>
                <w:rFonts w:ascii="宋体" w:hAnsi="宋体" w:cs="宋体"/>
                <w:color w:val="auto"/>
              </w:rPr>
            </w:pPr>
            <w:r>
              <w:rPr>
                <w:rFonts w:hint="eastAsia" w:ascii="宋体" w:hAnsi="宋体" w:cs="宋体"/>
                <w:color w:val="auto"/>
              </w:rPr>
              <w:t xml:space="preserve">甲方（盖章）： </w:t>
            </w:r>
          </w:p>
        </w:tc>
        <w:tc>
          <w:tcPr>
            <w:tcW w:w="4800" w:type="dxa"/>
          </w:tcPr>
          <w:p w14:paraId="2AFF7E10">
            <w:pPr>
              <w:pStyle w:val="13"/>
              <w:widowControl/>
              <w:spacing w:before="75" w:beforeAutospacing="0" w:after="75" w:afterAutospacing="0" w:line="360" w:lineRule="auto"/>
              <w:rPr>
                <w:rFonts w:ascii="宋体" w:hAnsi="宋体" w:cs="宋体"/>
                <w:color w:val="auto"/>
              </w:rPr>
            </w:pPr>
            <w:r>
              <w:rPr>
                <w:rFonts w:hint="eastAsia" w:ascii="宋体" w:hAnsi="宋体" w:cs="宋体"/>
                <w:color w:val="auto"/>
              </w:rPr>
              <w:t>乙方（盖章）：</w:t>
            </w:r>
          </w:p>
        </w:tc>
      </w:tr>
      <w:tr w14:paraId="1E823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2D1A1843">
            <w:pPr>
              <w:pStyle w:val="13"/>
              <w:widowControl/>
              <w:spacing w:before="75" w:beforeAutospacing="0" w:after="75" w:afterAutospacing="0" w:line="360" w:lineRule="auto"/>
              <w:rPr>
                <w:rFonts w:ascii="宋体" w:hAnsi="宋体" w:cs="宋体"/>
                <w:color w:val="auto"/>
              </w:rPr>
            </w:pPr>
            <w:r>
              <w:rPr>
                <w:rFonts w:hint="eastAsia" w:ascii="宋体" w:hAnsi="宋体" w:cs="宋体"/>
                <w:color w:val="auto"/>
              </w:rPr>
              <w:t>住所：</w:t>
            </w:r>
          </w:p>
        </w:tc>
        <w:tc>
          <w:tcPr>
            <w:tcW w:w="4800" w:type="dxa"/>
          </w:tcPr>
          <w:p w14:paraId="5543D946">
            <w:pPr>
              <w:pStyle w:val="13"/>
              <w:widowControl/>
              <w:spacing w:before="75" w:beforeAutospacing="0" w:after="75" w:afterAutospacing="0" w:line="360" w:lineRule="auto"/>
              <w:rPr>
                <w:rFonts w:ascii="宋体" w:hAnsi="宋体" w:cs="宋体"/>
                <w:color w:val="auto"/>
              </w:rPr>
            </w:pPr>
            <w:r>
              <w:rPr>
                <w:rFonts w:hint="eastAsia" w:ascii="宋体" w:hAnsi="宋体" w:cs="宋体"/>
                <w:color w:val="auto"/>
              </w:rPr>
              <w:t>住所：</w:t>
            </w:r>
          </w:p>
        </w:tc>
      </w:tr>
      <w:tr w14:paraId="39078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38BA1BD0">
            <w:pPr>
              <w:pStyle w:val="13"/>
              <w:widowControl/>
              <w:spacing w:before="75" w:beforeAutospacing="0" w:after="75" w:afterAutospacing="0" w:line="360" w:lineRule="auto"/>
              <w:rPr>
                <w:rFonts w:ascii="宋体" w:hAnsi="宋体" w:cs="宋体"/>
                <w:color w:val="auto"/>
              </w:rPr>
            </w:pPr>
            <w:r>
              <w:rPr>
                <w:rFonts w:hint="eastAsia" w:ascii="宋体" w:hAnsi="宋体" w:cs="宋体"/>
                <w:color w:val="auto"/>
              </w:rPr>
              <w:t>单位负责人</w:t>
            </w:r>
            <w:r>
              <w:rPr>
                <w:rFonts w:hint="eastAsia" w:ascii="宋体" w:hAnsi="宋体" w:cs="宋体"/>
                <w:color w:val="auto"/>
                <w:lang w:eastAsia="zh-Hans"/>
              </w:rPr>
              <w:t>（签字或盖章）</w:t>
            </w:r>
            <w:r>
              <w:rPr>
                <w:rFonts w:hint="eastAsia" w:ascii="宋体" w:hAnsi="宋体" w:cs="宋体"/>
                <w:color w:val="auto"/>
              </w:rPr>
              <w:t>：</w:t>
            </w:r>
          </w:p>
        </w:tc>
        <w:tc>
          <w:tcPr>
            <w:tcW w:w="4800" w:type="dxa"/>
          </w:tcPr>
          <w:p w14:paraId="182A971A">
            <w:pPr>
              <w:pStyle w:val="13"/>
              <w:widowControl/>
              <w:spacing w:before="75" w:beforeAutospacing="0" w:after="75" w:afterAutospacing="0" w:line="360" w:lineRule="auto"/>
              <w:rPr>
                <w:rFonts w:ascii="宋体" w:hAnsi="宋体" w:cs="宋体"/>
                <w:color w:val="auto"/>
              </w:rPr>
            </w:pPr>
            <w:r>
              <w:rPr>
                <w:rFonts w:hint="eastAsia" w:ascii="宋体" w:hAnsi="宋体" w:cs="宋体"/>
                <w:color w:val="auto"/>
              </w:rPr>
              <w:t>单位负责人</w:t>
            </w:r>
            <w:r>
              <w:rPr>
                <w:rFonts w:hint="eastAsia" w:ascii="宋体" w:hAnsi="宋体" w:cs="宋体"/>
                <w:color w:val="auto"/>
                <w:lang w:eastAsia="zh-Hans"/>
              </w:rPr>
              <w:t>（签字或盖章）</w:t>
            </w:r>
            <w:r>
              <w:rPr>
                <w:rFonts w:hint="eastAsia" w:ascii="宋体" w:hAnsi="宋体" w:cs="宋体"/>
                <w:color w:val="auto"/>
              </w:rPr>
              <w:t>：</w:t>
            </w:r>
          </w:p>
        </w:tc>
      </w:tr>
      <w:tr w14:paraId="764A1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021C3409">
            <w:pPr>
              <w:pStyle w:val="13"/>
              <w:widowControl/>
              <w:spacing w:before="75" w:beforeAutospacing="0" w:after="75" w:afterAutospacing="0" w:line="360" w:lineRule="auto"/>
              <w:rPr>
                <w:rFonts w:ascii="宋体" w:hAnsi="宋体" w:cs="宋体"/>
                <w:color w:val="auto"/>
              </w:rPr>
            </w:pPr>
            <w:r>
              <w:rPr>
                <w:rFonts w:hint="eastAsia" w:ascii="宋体" w:hAnsi="宋体" w:cs="宋体"/>
                <w:color w:val="auto"/>
              </w:rPr>
              <w:t>委托代理人</w:t>
            </w:r>
            <w:r>
              <w:rPr>
                <w:rFonts w:hint="eastAsia" w:ascii="宋体" w:hAnsi="宋体" w:cs="宋体"/>
                <w:color w:val="auto"/>
                <w:lang w:eastAsia="zh-Hans"/>
              </w:rPr>
              <w:t>（签字或盖章）</w:t>
            </w:r>
            <w:r>
              <w:rPr>
                <w:rFonts w:hint="eastAsia" w:ascii="宋体" w:hAnsi="宋体" w:cs="宋体"/>
                <w:color w:val="auto"/>
              </w:rPr>
              <w:t>：</w:t>
            </w:r>
          </w:p>
        </w:tc>
        <w:tc>
          <w:tcPr>
            <w:tcW w:w="4800" w:type="dxa"/>
          </w:tcPr>
          <w:p w14:paraId="1207D0B0">
            <w:pPr>
              <w:pStyle w:val="13"/>
              <w:widowControl/>
              <w:spacing w:before="75" w:beforeAutospacing="0" w:after="75" w:afterAutospacing="0" w:line="360" w:lineRule="auto"/>
              <w:rPr>
                <w:rFonts w:ascii="宋体" w:hAnsi="宋体" w:cs="宋体"/>
                <w:color w:val="auto"/>
              </w:rPr>
            </w:pPr>
            <w:r>
              <w:rPr>
                <w:rFonts w:hint="eastAsia" w:ascii="宋体" w:hAnsi="宋体" w:cs="宋体"/>
                <w:color w:val="auto"/>
              </w:rPr>
              <w:t>委托代理人</w:t>
            </w:r>
            <w:r>
              <w:rPr>
                <w:rFonts w:hint="eastAsia" w:ascii="宋体" w:hAnsi="宋体" w:cs="宋体"/>
                <w:color w:val="auto"/>
                <w:lang w:eastAsia="zh-Hans"/>
              </w:rPr>
              <w:t>（签字或盖章）</w:t>
            </w:r>
            <w:r>
              <w:rPr>
                <w:rFonts w:hint="eastAsia" w:ascii="宋体" w:hAnsi="宋体" w:cs="宋体"/>
                <w:color w:val="auto"/>
              </w:rPr>
              <w:t>：</w:t>
            </w:r>
          </w:p>
        </w:tc>
      </w:tr>
      <w:tr w14:paraId="7A9C0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75C7158C">
            <w:pPr>
              <w:pStyle w:val="13"/>
              <w:widowControl/>
              <w:spacing w:before="75" w:beforeAutospacing="0" w:after="75" w:afterAutospacing="0" w:line="360" w:lineRule="auto"/>
              <w:rPr>
                <w:rFonts w:ascii="宋体" w:hAnsi="宋体" w:cs="宋体"/>
                <w:color w:val="auto"/>
              </w:rPr>
            </w:pPr>
            <w:r>
              <w:rPr>
                <w:rFonts w:hint="eastAsia" w:ascii="宋体" w:hAnsi="宋体" w:cs="宋体"/>
                <w:color w:val="auto"/>
              </w:rPr>
              <w:t>联系方法：</w:t>
            </w:r>
          </w:p>
        </w:tc>
        <w:tc>
          <w:tcPr>
            <w:tcW w:w="4800" w:type="dxa"/>
          </w:tcPr>
          <w:p w14:paraId="557DF7C2">
            <w:pPr>
              <w:pStyle w:val="13"/>
              <w:widowControl/>
              <w:spacing w:before="75" w:beforeAutospacing="0" w:after="75" w:afterAutospacing="0" w:line="360" w:lineRule="auto"/>
              <w:rPr>
                <w:rFonts w:ascii="宋体" w:hAnsi="宋体" w:cs="宋体"/>
                <w:color w:val="auto"/>
              </w:rPr>
            </w:pPr>
            <w:r>
              <w:rPr>
                <w:rFonts w:hint="eastAsia" w:ascii="宋体" w:hAnsi="宋体" w:cs="宋体"/>
                <w:color w:val="auto"/>
              </w:rPr>
              <w:t>联系方法：</w:t>
            </w:r>
          </w:p>
        </w:tc>
      </w:tr>
      <w:tr w14:paraId="74122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29D5C701">
            <w:pPr>
              <w:pStyle w:val="13"/>
              <w:widowControl/>
              <w:spacing w:before="75" w:beforeAutospacing="0" w:after="75" w:afterAutospacing="0" w:line="360" w:lineRule="auto"/>
              <w:rPr>
                <w:rFonts w:ascii="宋体" w:hAnsi="宋体" w:cs="宋体"/>
                <w:color w:val="auto"/>
              </w:rPr>
            </w:pPr>
            <w:r>
              <w:rPr>
                <w:rFonts w:hint="eastAsia" w:ascii="宋体" w:hAnsi="宋体" w:cs="宋体"/>
                <w:color w:val="auto"/>
              </w:rPr>
              <w:t>开户银行：</w:t>
            </w:r>
          </w:p>
        </w:tc>
        <w:tc>
          <w:tcPr>
            <w:tcW w:w="4800" w:type="dxa"/>
          </w:tcPr>
          <w:p w14:paraId="4AC53DC4">
            <w:pPr>
              <w:pStyle w:val="13"/>
              <w:widowControl/>
              <w:spacing w:before="75" w:beforeAutospacing="0" w:after="75" w:afterAutospacing="0" w:line="360" w:lineRule="auto"/>
              <w:rPr>
                <w:rFonts w:ascii="宋体" w:hAnsi="宋体" w:cs="宋体"/>
                <w:color w:val="auto"/>
              </w:rPr>
            </w:pPr>
            <w:r>
              <w:rPr>
                <w:rFonts w:hint="eastAsia" w:ascii="宋体" w:hAnsi="宋体" w:cs="宋体"/>
                <w:color w:val="auto"/>
              </w:rPr>
              <w:t>开户银行：</w:t>
            </w:r>
          </w:p>
        </w:tc>
      </w:tr>
      <w:tr w14:paraId="25C21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42664FD5">
            <w:pPr>
              <w:pStyle w:val="13"/>
              <w:widowControl/>
              <w:spacing w:before="75" w:beforeAutospacing="0" w:after="75" w:afterAutospacing="0" w:line="360" w:lineRule="auto"/>
              <w:rPr>
                <w:rFonts w:ascii="宋体" w:hAnsi="宋体" w:cs="宋体"/>
                <w:color w:val="auto"/>
              </w:rPr>
            </w:pPr>
            <w:r>
              <w:rPr>
                <w:rFonts w:hint="eastAsia" w:ascii="宋体" w:hAnsi="宋体" w:cs="宋体"/>
                <w:color w:val="auto"/>
              </w:rPr>
              <w:t xml:space="preserve">账号： </w:t>
            </w:r>
          </w:p>
        </w:tc>
        <w:tc>
          <w:tcPr>
            <w:tcW w:w="4800" w:type="dxa"/>
          </w:tcPr>
          <w:p w14:paraId="674E5F77">
            <w:pPr>
              <w:pStyle w:val="13"/>
              <w:widowControl/>
              <w:spacing w:before="75" w:beforeAutospacing="0" w:after="75" w:afterAutospacing="0" w:line="360" w:lineRule="auto"/>
              <w:rPr>
                <w:rFonts w:ascii="宋体" w:hAnsi="宋体" w:cs="宋体"/>
                <w:color w:val="auto"/>
              </w:rPr>
            </w:pPr>
            <w:r>
              <w:rPr>
                <w:rFonts w:hint="eastAsia" w:ascii="宋体" w:hAnsi="宋体" w:cs="宋体"/>
                <w:color w:val="auto"/>
              </w:rPr>
              <w:t>账号：</w:t>
            </w:r>
          </w:p>
        </w:tc>
      </w:tr>
    </w:tbl>
    <w:p w14:paraId="0A230BD2">
      <w:pPr>
        <w:pStyle w:val="13"/>
        <w:widowControl/>
        <w:spacing w:before="75" w:beforeAutospacing="0" w:after="75" w:afterAutospacing="0" w:line="360" w:lineRule="auto"/>
        <w:rPr>
          <w:rFonts w:ascii="宋体" w:hAnsi="宋体" w:cs="宋体"/>
          <w:color w:val="auto"/>
        </w:rPr>
      </w:pPr>
      <w:r>
        <w:rPr>
          <w:rFonts w:hint="eastAsia" w:ascii="宋体" w:hAnsi="宋体" w:cs="宋体"/>
          <w:color w:val="auto"/>
        </w:rPr>
        <w:t xml:space="preserve">                                </w:t>
      </w:r>
    </w:p>
    <w:p w14:paraId="49FED5A6">
      <w:pPr>
        <w:pStyle w:val="13"/>
        <w:widowControl/>
        <w:spacing w:before="75" w:beforeAutospacing="0" w:after="75" w:afterAutospacing="0" w:line="360" w:lineRule="auto"/>
        <w:rPr>
          <w:rFonts w:ascii="宋体" w:hAnsi="宋体" w:cs="宋体"/>
          <w:color w:val="auto"/>
        </w:rPr>
      </w:pPr>
      <w:r>
        <w:rPr>
          <w:rFonts w:hint="eastAsia" w:ascii="宋体" w:hAnsi="宋体" w:cs="宋体"/>
          <w:color w:val="auto"/>
        </w:rPr>
        <w:t>签订地点：</w:t>
      </w:r>
    </w:p>
    <w:p w14:paraId="7790FD0E">
      <w:pPr>
        <w:pStyle w:val="13"/>
        <w:widowControl/>
        <w:spacing w:before="75" w:beforeAutospacing="0" w:after="75" w:afterAutospacing="0" w:line="360" w:lineRule="auto"/>
        <w:rPr>
          <w:rFonts w:ascii="宋体" w:hAnsi="宋体" w:cs="宋体"/>
          <w:color w:val="auto"/>
        </w:rPr>
      </w:pPr>
      <w:r>
        <w:rPr>
          <w:rFonts w:hint="eastAsia" w:ascii="宋体" w:hAnsi="宋体" w:cs="宋体"/>
          <w:color w:val="auto"/>
        </w:rPr>
        <w:t>签订日期：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月</w:t>
      </w:r>
      <w:r>
        <w:rPr>
          <w:rFonts w:hint="eastAsia" w:ascii="宋体" w:hAnsi="宋体" w:cs="宋体"/>
          <w:color w:val="auto"/>
          <w:u w:val="single"/>
        </w:rPr>
        <w:t>   </w:t>
      </w:r>
      <w:r>
        <w:rPr>
          <w:rFonts w:hint="eastAsia" w:ascii="宋体" w:hAnsi="宋体" w:cs="宋体"/>
          <w:color w:val="auto"/>
        </w:rPr>
        <w:t>日</w:t>
      </w:r>
    </w:p>
    <w:p w14:paraId="46381A21">
      <w:pPr>
        <w:pStyle w:val="13"/>
        <w:widowControl/>
        <w:spacing w:before="60" w:beforeAutospacing="0" w:after="60" w:afterAutospacing="0" w:line="348" w:lineRule="atLeast"/>
        <w:jc w:val="center"/>
        <w:rPr>
          <w:rStyle w:val="19"/>
          <w:rFonts w:hint="eastAsia" w:asciiTheme="minorEastAsia" w:hAnsiTheme="minorEastAsia" w:eastAsiaTheme="minorEastAsia" w:cstheme="minorEastAsia"/>
          <w:color w:val="auto"/>
          <w:sz w:val="28"/>
          <w:szCs w:val="28"/>
          <w:highlight w:val="none"/>
        </w:rPr>
      </w:pPr>
    </w:p>
    <w:p w14:paraId="5DCB8E23">
      <w:pPr>
        <w:rPr>
          <w:rStyle w:val="19"/>
          <w:rFonts w:hint="eastAsia" w:asciiTheme="minorEastAsia" w:hAnsiTheme="minorEastAsia" w:eastAsiaTheme="minorEastAsia" w:cstheme="minorEastAsia"/>
          <w:color w:val="auto"/>
          <w:sz w:val="28"/>
          <w:szCs w:val="28"/>
          <w:highlight w:val="none"/>
        </w:rPr>
      </w:pPr>
      <w:r>
        <w:rPr>
          <w:rStyle w:val="19"/>
          <w:rFonts w:hint="eastAsia" w:asciiTheme="minorEastAsia" w:hAnsiTheme="minorEastAsia" w:eastAsiaTheme="minorEastAsia" w:cstheme="minorEastAsia"/>
          <w:color w:val="auto"/>
          <w:sz w:val="28"/>
          <w:szCs w:val="28"/>
          <w:highlight w:val="none"/>
        </w:rPr>
        <w:br w:type="page"/>
      </w:r>
    </w:p>
    <w:p w14:paraId="33538554">
      <w:pPr>
        <w:pStyle w:val="13"/>
        <w:widowControl/>
        <w:spacing w:before="60" w:beforeAutospacing="0" w:after="60" w:afterAutospacing="0" w:line="348" w:lineRule="atLeas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28"/>
          <w:szCs w:val="28"/>
          <w:highlight w:val="none"/>
        </w:rPr>
        <w:t>第五章  首次响应文件格式</w:t>
      </w:r>
    </w:p>
    <w:p w14:paraId="0C9C5D72">
      <w:pPr>
        <w:pStyle w:val="13"/>
        <w:widowControl/>
        <w:spacing w:before="0" w:beforeAutospacing="0" w:after="0" w:afterAutospacing="0" w:line="500" w:lineRule="exact"/>
        <w:ind w:firstLine="542" w:firstLineChars="200"/>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 </w:t>
      </w:r>
    </w:p>
    <w:p w14:paraId="78D61BDE">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编制说明</w:t>
      </w:r>
    </w:p>
    <w:p w14:paraId="7B29285D">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1、本附件所有格式为响应文件的组成部分，供</w:t>
      </w:r>
      <w:r>
        <w:rPr>
          <w:rFonts w:hint="eastAsia" w:asciiTheme="minorEastAsia" w:hAnsiTheme="minorEastAsia" w:eastAsiaTheme="minorEastAsia" w:cstheme="minorEastAsia"/>
          <w:color w:val="auto"/>
          <w:spacing w:val="0"/>
          <w:sz w:val="24"/>
          <w:szCs w:val="24"/>
          <w:highlight w:val="none"/>
        </w:rPr>
        <w:t>采购人或代理机构</w:t>
      </w:r>
      <w:r>
        <w:rPr>
          <w:rFonts w:hint="eastAsia" w:asciiTheme="minorEastAsia" w:hAnsiTheme="minorEastAsia" w:eastAsiaTheme="minorEastAsia" w:cstheme="minorEastAsia"/>
          <w:color w:val="auto"/>
          <w:highlight w:val="none"/>
        </w:rPr>
        <w:t>编制磋商文件时参考使用。由于新增政策、行业管理规定或者不同项目实际特点需要,则</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人或代理机构可以对有关表格进行必要的补充或修改，以满足实际项目的使用。</w:t>
      </w:r>
    </w:p>
    <w:p w14:paraId="544DEF09">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除磋商文件另有规定外，磋商文件要求原件的，供应商在纸质响应文件正本中应提供原件；磋商文件要求复印件的，供应商在纸质响应文件中可提供原件、复印件或扫描件；磋商文件对原件、复印件未作要求的，供应商可自行确定在纸质响应文件中提供原件、复印件或扫描件(若供应商提供注明“复印件无效”的材料或资料，供应商在纸质响应文件正本中应提供原件)。</w:t>
      </w:r>
    </w:p>
    <w:p w14:paraId="56EEB4C8">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45139F73">
      <w:pPr>
        <w:pStyle w:val="13"/>
        <w:widowControl/>
        <w:spacing w:before="60" w:beforeAutospacing="0" w:after="60" w:afterAutospacing="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28"/>
          <w:szCs w:val="28"/>
          <w:highlight w:val="none"/>
        </w:rPr>
        <w:t> </w:t>
      </w:r>
    </w:p>
    <w:p w14:paraId="7C9681BE">
      <w:pPr>
        <w:pStyle w:val="13"/>
        <w:widowControl/>
        <w:spacing w:before="60" w:beforeAutospacing="0" w:after="60" w:afterAutospacing="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28"/>
          <w:szCs w:val="28"/>
          <w:highlight w:val="none"/>
        </w:rPr>
        <w:t> </w:t>
      </w:r>
    </w:p>
    <w:p w14:paraId="57942A35">
      <w:pPr>
        <w:pStyle w:val="13"/>
        <w:widowControl/>
        <w:spacing w:before="60" w:beforeAutospacing="0" w:after="60" w:afterAutospacing="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28"/>
          <w:szCs w:val="28"/>
          <w:highlight w:val="none"/>
        </w:rPr>
        <w:t> </w:t>
      </w:r>
    </w:p>
    <w:p w14:paraId="1E3FB9ED">
      <w:pPr>
        <w:pStyle w:val="13"/>
        <w:widowControl/>
        <w:spacing w:before="60" w:beforeAutospacing="0" w:after="60" w:afterAutospacing="0"/>
        <w:rPr>
          <w:rStyle w:val="19"/>
          <w:rFonts w:hint="eastAsia" w:asciiTheme="minorEastAsia" w:hAnsiTheme="minorEastAsia" w:eastAsiaTheme="minorEastAsia" w:cstheme="minorEastAsia"/>
          <w:color w:val="auto"/>
          <w:sz w:val="28"/>
          <w:szCs w:val="28"/>
          <w:highlight w:val="none"/>
          <w:lang w:eastAsia="zh-CN"/>
        </w:rPr>
      </w:pPr>
      <w:r>
        <w:rPr>
          <w:rStyle w:val="19"/>
          <w:rFonts w:hint="eastAsia" w:asciiTheme="minorEastAsia" w:hAnsiTheme="minorEastAsia" w:eastAsiaTheme="minorEastAsia" w:cstheme="minorEastAsia"/>
          <w:color w:val="auto"/>
          <w:sz w:val="28"/>
          <w:szCs w:val="28"/>
          <w:highlight w:val="none"/>
        </w:rPr>
        <w:t>      </w:t>
      </w:r>
    </w:p>
    <w:p w14:paraId="671FD639">
      <w:pPr>
        <w:pStyle w:val="13"/>
        <w:widowControl/>
        <w:spacing w:before="60" w:beforeAutospacing="0" w:after="60" w:afterAutospacing="0"/>
        <w:jc w:val="center"/>
        <w:rPr>
          <w:rFonts w:hint="eastAsia" w:asciiTheme="minorEastAsia" w:hAnsiTheme="minorEastAsia" w:eastAsiaTheme="minorEastAsia" w:cstheme="minorEastAsia"/>
          <w:color w:val="auto"/>
          <w:sz w:val="52"/>
          <w:szCs w:val="52"/>
          <w:highlight w:val="none"/>
        </w:rPr>
      </w:pPr>
      <w:r>
        <w:rPr>
          <w:rStyle w:val="19"/>
          <w:rFonts w:hint="eastAsia" w:asciiTheme="minorEastAsia" w:hAnsiTheme="minorEastAsia" w:eastAsiaTheme="minorEastAsia" w:cstheme="minorEastAsia"/>
          <w:color w:val="auto"/>
          <w:sz w:val="28"/>
          <w:szCs w:val="28"/>
          <w:highlight w:val="none"/>
        </w:rPr>
        <w:br w:type="page"/>
      </w:r>
      <w:r>
        <w:rPr>
          <w:rStyle w:val="19"/>
          <w:rFonts w:hint="eastAsia" w:asciiTheme="minorEastAsia" w:hAnsiTheme="minorEastAsia" w:eastAsiaTheme="minorEastAsia" w:cstheme="minorEastAsia"/>
          <w:color w:val="auto"/>
          <w:sz w:val="52"/>
          <w:szCs w:val="52"/>
          <w:highlight w:val="none"/>
        </w:rPr>
        <w:t>竞争性磋商</w:t>
      </w:r>
    </w:p>
    <w:p w14:paraId="07358D01">
      <w:pPr>
        <w:pStyle w:val="13"/>
        <w:widowControl/>
        <w:spacing w:before="60" w:beforeAutospacing="0" w:after="60" w:afterAutospacing="0"/>
        <w:jc w:val="center"/>
        <w:rPr>
          <w:rStyle w:val="19"/>
          <w:rFonts w:hint="eastAsia" w:asciiTheme="minorEastAsia" w:hAnsiTheme="minorEastAsia" w:eastAsiaTheme="minorEastAsia" w:cstheme="minorEastAsia"/>
          <w:color w:val="auto"/>
          <w:sz w:val="52"/>
          <w:szCs w:val="52"/>
          <w:highlight w:val="none"/>
          <w:lang w:eastAsia="zh-CN"/>
        </w:rPr>
      </w:pPr>
      <w:r>
        <w:rPr>
          <w:rStyle w:val="19"/>
          <w:rFonts w:hint="eastAsia" w:asciiTheme="minorEastAsia" w:hAnsiTheme="minorEastAsia" w:eastAsiaTheme="minorEastAsia" w:cstheme="minorEastAsia"/>
          <w:color w:val="auto"/>
          <w:sz w:val="52"/>
          <w:szCs w:val="52"/>
          <w:highlight w:val="none"/>
        </w:rPr>
        <w:t>响应文件</w:t>
      </w:r>
    </w:p>
    <w:p w14:paraId="561A06FE">
      <w:pPr>
        <w:pStyle w:val="13"/>
        <w:widowControl/>
        <w:spacing w:before="60" w:beforeAutospacing="0" w:after="60" w:afterAutospacing="0"/>
        <w:jc w:val="center"/>
        <w:rPr>
          <w:rFonts w:hint="eastAsia" w:asciiTheme="minorEastAsia" w:hAnsiTheme="minorEastAsia" w:eastAsiaTheme="minorEastAsia" w:cstheme="minorEastAsia"/>
          <w:color w:val="auto"/>
          <w:sz w:val="52"/>
          <w:szCs w:val="52"/>
          <w:highlight w:val="none"/>
        </w:rPr>
      </w:pPr>
      <w:r>
        <w:rPr>
          <w:rStyle w:val="19"/>
          <w:rFonts w:hint="eastAsia" w:asciiTheme="minorEastAsia" w:hAnsiTheme="minorEastAsia" w:eastAsiaTheme="minorEastAsia" w:cstheme="minorEastAsia"/>
          <w:color w:val="auto"/>
          <w:sz w:val="52"/>
          <w:szCs w:val="52"/>
          <w:highlight w:val="none"/>
        </w:rPr>
        <w:t>(首次)</w:t>
      </w:r>
    </w:p>
    <w:p w14:paraId="619FE543">
      <w:pPr>
        <w:pStyle w:val="13"/>
        <w:widowControl/>
        <w:spacing w:before="60" w:beforeAutospacing="0" w:after="6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6CD7B8CA">
      <w:pPr>
        <w:pStyle w:val="13"/>
        <w:widowControl/>
        <w:spacing w:before="60" w:beforeAutospacing="0" w:after="6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508EE8D2">
      <w:pPr>
        <w:pStyle w:val="13"/>
        <w:widowControl/>
        <w:spacing w:before="60" w:beforeAutospacing="0" w:after="60" w:afterAutospacing="0"/>
        <w:ind w:firstLine="1008"/>
        <w:rPr>
          <w:rStyle w:val="19"/>
          <w:rFonts w:hint="eastAsia" w:asciiTheme="minorEastAsia" w:hAnsiTheme="minorEastAsia" w:eastAsiaTheme="minorEastAsia" w:cstheme="minorEastAsia"/>
          <w:color w:val="auto"/>
          <w:sz w:val="32"/>
          <w:szCs w:val="32"/>
          <w:highlight w:val="none"/>
        </w:rPr>
      </w:pPr>
    </w:p>
    <w:p w14:paraId="0CB92EAC">
      <w:pPr>
        <w:pStyle w:val="13"/>
        <w:widowControl/>
        <w:spacing w:before="60" w:beforeAutospacing="0" w:after="60" w:afterAutospacing="0"/>
        <w:ind w:firstLine="1008"/>
        <w:rPr>
          <w:rStyle w:val="19"/>
          <w:rFonts w:hint="eastAsia" w:asciiTheme="minorEastAsia" w:hAnsiTheme="minorEastAsia" w:eastAsiaTheme="minorEastAsia" w:cstheme="minorEastAsia"/>
          <w:color w:val="auto"/>
          <w:sz w:val="32"/>
          <w:szCs w:val="32"/>
          <w:highlight w:val="none"/>
        </w:rPr>
      </w:pPr>
    </w:p>
    <w:p w14:paraId="6C5B60DD">
      <w:pPr>
        <w:pStyle w:val="13"/>
        <w:widowControl/>
        <w:spacing w:before="60" w:beforeAutospacing="0" w:after="60" w:afterAutospacing="0"/>
        <w:ind w:firstLine="1008"/>
        <w:rPr>
          <w:rFonts w:hint="eastAsia" w:asciiTheme="minorEastAsia" w:hAnsiTheme="minorEastAsia" w:eastAsiaTheme="minorEastAsia" w:cstheme="minorEastAsia"/>
          <w:color w:val="auto"/>
          <w:sz w:val="32"/>
          <w:szCs w:val="32"/>
          <w:highlight w:val="none"/>
        </w:rPr>
      </w:pPr>
      <w:r>
        <w:rPr>
          <w:rStyle w:val="19"/>
          <w:rFonts w:hint="eastAsia" w:asciiTheme="minorEastAsia" w:hAnsiTheme="minorEastAsia" w:eastAsiaTheme="minorEastAsia" w:cstheme="minorEastAsia"/>
          <w:color w:val="auto"/>
          <w:sz w:val="32"/>
          <w:szCs w:val="32"/>
          <w:highlight w:val="none"/>
        </w:rPr>
        <w:t>项目名称：</w:t>
      </w:r>
      <w:r>
        <w:rPr>
          <w:rStyle w:val="19"/>
          <w:rFonts w:hint="eastAsia" w:asciiTheme="minorEastAsia" w:hAnsiTheme="minorEastAsia" w:eastAsiaTheme="minorEastAsia" w:cstheme="minorEastAsia"/>
          <w:color w:val="auto"/>
          <w:sz w:val="32"/>
          <w:szCs w:val="32"/>
          <w:highlight w:val="none"/>
          <w:u w:val="single"/>
        </w:rPr>
        <w:t>               </w:t>
      </w:r>
    </w:p>
    <w:p w14:paraId="0DB5F181">
      <w:pPr>
        <w:pStyle w:val="13"/>
        <w:widowControl/>
        <w:spacing w:before="60" w:beforeAutospacing="0" w:after="60" w:afterAutospacing="0"/>
        <w:ind w:firstLine="1008"/>
        <w:rPr>
          <w:rFonts w:hint="eastAsia" w:asciiTheme="minorEastAsia" w:hAnsiTheme="minorEastAsia" w:eastAsiaTheme="minorEastAsia" w:cstheme="minorEastAsia"/>
          <w:color w:val="auto"/>
          <w:sz w:val="32"/>
          <w:szCs w:val="32"/>
          <w:highlight w:val="none"/>
        </w:rPr>
      </w:pPr>
      <w:r>
        <w:rPr>
          <w:rStyle w:val="19"/>
          <w:rFonts w:hint="eastAsia" w:asciiTheme="minorEastAsia" w:hAnsiTheme="minorEastAsia" w:eastAsiaTheme="minorEastAsia" w:cstheme="minorEastAsia"/>
          <w:color w:val="auto"/>
          <w:sz w:val="32"/>
          <w:szCs w:val="32"/>
          <w:highlight w:val="none"/>
        </w:rPr>
        <w:t>项目编号：</w:t>
      </w:r>
      <w:r>
        <w:rPr>
          <w:rStyle w:val="19"/>
          <w:rFonts w:hint="eastAsia" w:asciiTheme="minorEastAsia" w:hAnsiTheme="minorEastAsia" w:eastAsiaTheme="minorEastAsia" w:cstheme="minorEastAsia"/>
          <w:color w:val="auto"/>
          <w:sz w:val="32"/>
          <w:szCs w:val="32"/>
          <w:highlight w:val="none"/>
          <w:u w:val="single"/>
        </w:rPr>
        <w:t>           </w:t>
      </w:r>
    </w:p>
    <w:p w14:paraId="20531288">
      <w:pPr>
        <w:pStyle w:val="13"/>
        <w:widowControl/>
        <w:spacing w:before="60" w:beforeAutospacing="0" w:after="60" w:afterAutospacing="0"/>
        <w:ind w:firstLine="1008"/>
        <w:rPr>
          <w:rFonts w:hint="eastAsia" w:asciiTheme="minorEastAsia" w:hAnsiTheme="minorEastAsia" w:eastAsiaTheme="minorEastAsia" w:cstheme="minorEastAsia"/>
          <w:color w:val="auto"/>
          <w:sz w:val="32"/>
          <w:szCs w:val="32"/>
          <w:highlight w:val="none"/>
        </w:rPr>
      </w:pPr>
      <w:r>
        <w:rPr>
          <w:rStyle w:val="19"/>
          <w:rFonts w:hint="eastAsia" w:asciiTheme="minorEastAsia" w:hAnsiTheme="minorEastAsia" w:eastAsiaTheme="minorEastAsia" w:cstheme="minorEastAsia"/>
          <w:color w:val="auto"/>
          <w:sz w:val="32"/>
          <w:szCs w:val="32"/>
          <w:highlight w:val="none"/>
        </w:rPr>
        <w:t>合同包: </w:t>
      </w:r>
      <w:r>
        <w:rPr>
          <w:rStyle w:val="19"/>
          <w:rFonts w:hint="eastAsia" w:asciiTheme="minorEastAsia" w:hAnsiTheme="minorEastAsia" w:eastAsiaTheme="minorEastAsia" w:cstheme="minorEastAsia"/>
          <w:color w:val="auto"/>
          <w:sz w:val="32"/>
          <w:szCs w:val="32"/>
          <w:highlight w:val="none"/>
          <w:u w:val="single"/>
        </w:rPr>
        <w:t>           </w:t>
      </w:r>
    </w:p>
    <w:p w14:paraId="7C97B587">
      <w:pPr>
        <w:pStyle w:val="13"/>
        <w:widowControl/>
        <w:spacing w:before="60" w:beforeAutospacing="0" w:after="60" w:afterAutospacing="0"/>
        <w:jc w:val="center"/>
        <w:rPr>
          <w:rFonts w:hint="eastAsia" w:asciiTheme="minorEastAsia" w:hAnsiTheme="minorEastAsia" w:eastAsiaTheme="minorEastAsia" w:cstheme="minorEastAsia"/>
          <w:color w:val="auto"/>
          <w:sz w:val="32"/>
          <w:szCs w:val="32"/>
          <w:highlight w:val="none"/>
        </w:rPr>
      </w:pPr>
      <w:r>
        <w:rPr>
          <w:rStyle w:val="19"/>
          <w:rFonts w:hint="eastAsia" w:asciiTheme="minorEastAsia" w:hAnsiTheme="minorEastAsia" w:eastAsiaTheme="minorEastAsia" w:cstheme="minorEastAsia"/>
          <w:color w:val="auto"/>
          <w:sz w:val="32"/>
          <w:szCs w:val="32"/>
          <w:highlight w:val="none"/>
        </w:rPr>
        <w:t> </w:t>
      </w:r>
    </w:p>
    <w:p w14:paraId="5C4040F0">
      <w:pPr>
        <w:pStyle w:val="13"/>
        <w:widowControl/>
        <w:spacing w:before="60" w:beforeAutospacing="0" w:after="60" w:afterAutospacing="0"/>
        <w:jc w:val="center"/>
        <w:rPr>
          <w:rFonts w:hint="eastAsia" w:asciiTheme="minorEastAsia" w:hAnsiTheme="minorEastAsia" w:eastAsiaTheme="minorEastAsia" w:cstheme="minorEastAsia"/>
          <w:color w:val="auto"/>
          <w:sz w:val="32"/>
          <w:szCs w:val="32"/>
          <w:highlight w:val="none"/>
        </w:rPr>
      </w:pPr>
      <w:r>
        <w:rPr>
          <w:rStyle w:val="19"/>
          <w:rFonts w:hint="eastAsia" w:asciiTheme="minorEastAsia" w:hAnsiTheme="minorEastAsia" w:eastAsiaTheme="minorEastAsia" w:cstheme="minorEastAsia"/>
          <w:color w:val="auto"/>
          <w:sz w:val="32"/>
          <w:szCs w:val="32"/>
          <w:highlight w:val="none"/>
        </w:rPr>
        <w:t> </w:t>
      </w:r>
    </w:p>
    <w:p w14:paraId="7131757E">
      <w:pPr>
        <w:pStyle w:val="13"/>
        <w:widowControl/>
        <w:spacing w:before="60" w:beforeAutospacing="0" w:after="60" w:afterAutospacing="0"/>
        <w:jc w:val="center"/>
        <w:rPr>
          <w:rFonts w:hint="eastAsia" w:asciiTheme="minorEastAsia" w:hAnsiTheme="minorEastAsia" w:eastAsiaTheme="minorEastAsia" w:cstheme="minorEastAsia"/>
          <w:color w:val="auto"/>
          <w:sz w:val="32"/>
          <w:szCs w:val="32"/>
          <w:highlight w:val="none"/>
        </w:rPr>
      </w:pPr>
      <w:r>
        <w:rPr>
          <w:rStyle w:val="19"/>
          <w:rFonts w:hint="eastAsia" w:asciiTheme="minorEastAsia" w:hAnsiTheme="minorEastAsia" w:eastAsiaTheme="minorEastAsia" w:cstheme="minorEastAsia"/>
          <w:color w:val="auto"/>
          <w:sz w:val="32"/>
          <w:szCs w:val="32"/>
          <w:highlight w:val="none"/>
        </w:rPr>
        <w:t> </w:t>
      </w:r>
    </w:p>
    <w:p w14:paraId="44ECDA41">
      <w:pPr>
        <w:pStyle w:val="13"/>
        <w:widowControl/>
        <w:spacing w:before="60" w:beforeAutospacing="0" w:after="60" w:afterAutospacing="0"/>
        <w:rPr>
          <w:rFonts w:hint="eastAsia" w:asciiTheme="minorEastAsia" w:hAnsiTheme="minorEastAsia" w:eastAsiaTheme="minorEastAsia" w:cstheme="minorEastAsia"/>
          <w:color w:val="auto"/>
          <w:sz w:val="32"/>
          <w:szCs w:val="32"/>
          <w:highlight w:val="none"/>
        </w:rPr>
      </w:pPr>
      <w:r>
        <w:rPr>
          <w:rStyle w:val="19"/>
          <w:rFonts w:hint="eastAsia" w:asciiTheme="minorEastAsia" w:hAnsiTheme="minorEastAsia" w:eastAsiaTheme="minorEastAsia" w:cstheme="minorEastAsia"/>
          <w:color w:val="auto"/>
          <w:sz w:val="32"/>
          <w:szCs w:val="32"/>
          <w:highlight w:val="none"/>
        </w:rPr>
        <w:t> </w:t>
      </w:r>
    </w:p>
    <w:p w14:paraId="17395378">
      <w:pPr>
        <w:pStyle w:val="13"/>
        <w:widowControl/>
        <w:spacing w:before="60" w:beforeAutospacing="0" w:after="60" w:afterAutospacing="0"/>
        <w:rPr>
          <w:rFonts w:hint="eastAsia" w:asciiTheme="minorEastAsia" w:hAnsiTheme="minorEastAsia" w:eastAsiaTheme="minorEastAsia" w:cstheme="minorEastAsia"/>
          <w:color w:val="auto"/>
          <w:sz w:val="32"/>
          <w:szCs w:val="32"/>
          <w:highlight w:val="none"/>
        </w:rPr>
      </w:pPr>
      <w:r>
        <w:rPr>
          <w:rStyle w:val="19"/>
          <w:rFonts w:hint="eastAsia" w:asciiTheme="minorEastAsia" w:hAnsiTheme="minorEastAsia" w:eastAsiaTheme="minorEastAsia" w:cstheme="minorEastAsia"/>
          <w:color w:val="auto"/>
          <w:sz w:val="32"/>
          <w:szCs w:val="32"/>
          <w:highlight w:val="none"/>
        </w:rPr>
        <w:t>  </w:t>
      </w:r>
    </w:p>
    <w:p w14:paraId="56768C73">
      <w:pPr>
        <w:pStyle w:val="13"/>
        <w:widowControl/>
        <w:spacing w:before="60" w:beforeAutospacing="0" w:after="60" w:afterAutospacing="0"/>
        <w:rPr>
          <w:rFonts w:hint="eastAsia" w:asciiTheme="minorEastAsia" w:hAnsiTheme="minorEastAsia" w:eastAsiaTheme="minorEastAsia" w:cstheme="minorEastAsia"/>
          <w:color w:val="auto"/>
          <w:sz w:val="32"/>
          <w:szCs w:val="32"/>
          <w:highlight w:val="none"/>
        </w:rPr>
      </w:pPr>
      <w:r>
        <w:rPr>
          <w:rStyle w:val="19"/>
          <w:rFonts w:hint="eastAsia" w:asciiTheme="minorEastAsia" w:hAnsiTheme="minorEastAsia" w:eastAsiaTheme="minorEastAsia" w:cstheme="minorEastAsia"/>
          <w:color w:val="auto"/>
          <w:sz w:val="32"/>
          <w:szCs w:val="32"/>
          <w:highlight w:val="none"/>
        </w:rPr>
        <w:t>    供应商名称 ：</w:t>
      </w:r>
      <w:r>
        <w:rPr>
          <w:rStyle w:val="19"/>
          <w:rFonts w:hint="eastAsia" w:asciiTheme="minorEastAsia" w:hAnsiTheme="minorEastAsia" w:eastAsiaTheme="minorEastAsia" w:cstheme="minorEastAsia"/>
          <w:color w:val="auto"/>
          <w:sz w:val="32"/>
          <w:szCs w:val="32"/>
          <w:highlight w:val="none"/>
          <w:u w:val="single"/>
        </w:rPr>
        <w:t>               </w:t>
      </w:r>
    </w:p>
    <w:p w14:paraId="5B52A8CF">
      <w:pPr>
        <w:pStyle w:val="13"/>
        <w:widowControl/>
        <w:spacing w:before="60" w:beforeAutospacing="0" w:after="60" w:afterAutospacing="0"/>
        <w:rPr>
          <w:rFonts w:hint="eastAsia" w:asciiTheme="minorEastAsia" w:hAnsiTheme="minorEastAsia" w:eastAsiaTheme="minorEastAsia" w:cstheme="minorEastAsia"/>
          <w:color w:val="auto"/>
          <w:sz w:val="32"/>
          <w:szCs w:val="32"/>
          <w:highlight w:val="none"/>
        </w:rPr>
      </w:pPr>
      <w:r>
        <w:rPr>
          <w:rStyle w:val="19"/>
          <w:rFonts w:hint="eastAsia" w:asciiTheme="minorEastAsia" w:hAnsiTheme="minorEastAsia" w:eastAsiaTheme="minorEastAsia" w:cstheme="minorEastAsia"/>
          <w:color w:val="auto"/>
          <w:sz w:val="32"/>
          <w:szCs w:val="32"/>
          <w:highlight w:val="none"/>
        </w:rPr>
        <w:t>    日   期 ：</w:t>
      </w:r>
      <w:r>
        <w:rPr>
          <w:rStyle w:val="19"/>
          <w:rFonts w:hint="eastAsia" w:asciiTheme="minorEastAsia" w:hAnsiTheme="minorEastAsia" w:eastAsiaTheme="minorEastAsia" w:cstheme="minorEastAsia"/>
          <w:color w:val="auto"/>
          <w:sz w:val="32"/>
          <w:szCs w:val="32"/>
          <w:highlight w:val="none"/>
          <w:u w:val="single"/>
        </w:rPr>
        <w:t>               </w:t>
      </w:r>
    </w:p>
    <w:p w14:paraId="2DF60359">
      <w:pPr>
        <w:pStyle w:val="13"/>
        <w:widowControl/>
        <w:spacing w:before="60" w:beforeAutospacing="0" w:after="60" w:afterAutospacing="0"/>
        <w:jc w:val="center"/>
        <w:rPr>
          <w:rStyle w:val="19"/>
          <w:rFonts w:hint="eastAsia" w:asciiTheme="minorEastAsia" w:hAnsiTheme="minorEastAsia" w:eastAsiaTheme="minorEastAsia" w:cstheme="minorEastAsia"/>
          <w:color w:val="auto"/>
          <w:sz w:val="32"/>
          <w:szCs w:val="32"/>
          <w:highlight w:val="none"/>
          <w:u w:val="single"/>
          <w:lang w:eastAsia="zh-CN"/>
        </w:rPr>
      </w:pPr>
    </w:p>
    <w:p w14:paraId="45CCA267">
      <w:pPr>
        <w:pStyle w:val="13"/>
        <w:widowControl/>
        <w:spacing w:before="60" w:beforeAutospacing="0" w:after="60" w:afterAutospacing="0"/>
        <w:jc w:val="center"/>
        <w:rPr>
          <w:rStyle w:val="19"/>
          <w:rFonts w:hint="eastAsia" w:asciiTheme="minorEastAsia" w:hAnsiTheme="minorEastAsia" w:eastAsiaTheme="minorEastAsia" w:cstheme="minorEastAsia"/>
          <w:color w:val="auto"/>
          <w:sz w:val="32"/>
          <w:szCs w:val="32"/>
          <w:highlight w:val="none"/>
          <w:u w:val="single"/>
          <w:lang w:eastAsia="zh-CN"/>
        </w:rPr>
      </w:pPr>
    </w:p>
    <w:p w14:paraId="2CCCB8A8">
      <w:pPr>
        <w:pStyle w:val="13"/>
        <w:widowControl/>
        <w:spacing w:before="60" w:beforeAutospacing="0" w:after="60" w:afterAutospacing="0"/>
        <w:jc w:val="center"/>
        <w:rPr>
          <w:rStyle w:val="19"/>
          <w:rFonts w:hint="eastAsia" w:asciiTheme="minorEastAsia" w:hAnsiTheme="minorEastAsia" w:eastAsiaTheme="minorEastAsia" w:cstheme="minorEastAsia"/>
          <w:color w:val="auto"/>
          <w:sz w:val="32"/>
          <w:szCs w:val="32"/>
          <w:highlight w:val="none"/>
          <w:u w:val="single"/>
          <w:lang w:eastAsia="zh-CN"/>
        </w:rPr>
      </w:pPr>
    </w:p>
    <w:p w14:paraId="055467C4">
      <w:pPr>
        <w:pStyle w:val="13"/>
        <w:widowControl/>
        <w:spacing w:before="60" w:beforeAutospacing="0" w:after="60" w:afterAutospacing="0"/>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19"/>
          <w:szCs w:val="19"/>
          <w:highlight w:val="none"/>
          <w:u w:val="single"/>
        </w:rPr>
        <w:br w:type="page"/>
      </w:r>
      <w:r>
        <w:rPr>
          <w:rStyle w:val="19"/>
          <w:rFonts w:hint="eastAsia" w:asciiTheme="minorEastAsia" w:hAnsiTheme="minorEastAsia" w:eastAsiaTheme="minorEastAsia" w:cstheme="minorEastAsia"/>
          <w:color w:val="auto"/>
          <w:sz w:val="28"/>
          <w:szCs w:val="28"/>
          <w:highlight w:val="none"/>
        </w:rPr>
        <w:t>目  录</w:t>
      </w:r>
    </w:p>
    <w:p w14:paraId="000767E6">
      <w:pPr>
        <w:pStyle w:val="13"/>
        <w:widowControl/>
        <w:spacing w:before="60" w:beforeAutospacing="0" w:after="60" w:afterAutospacing="0" w:line="372"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19"/>
          <w:szCs w:val="19"/>
          <w:highlight w:val="none"/>
        </w:rPr>
        <w:t> </w:t>
      </w:r>
    </w:p>
    <w:p w14:paraId="5F4B9DE1">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附件1：响应函</w:t>
      </w:r>
    </w:p>
    <w:p w14:paraId="567F7DD7">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附件2：报价一览表</w:t>
      </w:r>
    </w:p>
    <w:p w14:paraId="2821B53A">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附件3：资格证明文件</w:t>
      </w:r>
    </w:p>
    <w:p w14:paraId="11064A1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附件4：技术和商务偏离表</w:t>
      </w:r>
    </w:p>
    <w:p w14:paraId="2612A099">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w:t>
      </w:r>
      <w:r>
        <w:rPr>
          <w:rFonts w:hint="eastAsia" w:asciiTheme="minorEastAsia" w:hAnsiTheme="minorEastAsia" w:eastAsiaTheme="minorEastAsia" w:cstheme="minorEastAsia"/>
          <w:color w:val="auto"/>
          <w:highlight w:val="none"/>
          <w:lang w:val="en-US" w:eastAsia="zh-CN"/>
        </w:rPr>
        <w:t>5</w:t>
      </w:r>
      <w:r>
        <w:rPr>
          <w:rFonts w:hint="eastAsia" w:asciiTheme="minorEastAsia" w:hAnsiTheme="minorEastAsia" w:eastAsiaTheme="minorEastAsia" w:cstheme="minorEastAsia"/>
          <w:color w:val="auto"/>
          <w:highlight w:val="none"/>
        </w:rPr>
        <w:t>：相关技术、商务、服务响应承诺及资料</w:t>
      </w:r>
    </w:p>
    <w:p w14:paraId="10FF62AC">
      <w:pPr>
        <w:pStyle w:val="13"/>
        <w:keepNext w:val="0"/>
        <w:keepLines w:val="0"/>
        <w:widowControl/>
        <w:suppressLineNumbers w:val="0"/>
        <w:spacing w:before="75" w:beforeAutospacing="0" w:after="75" w:afterAutospacing="0" w:line="465" w:lineRule="atLeast"/>
        <w:ind w:left="0" w:right="0" w:firstLine="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w:t>
      </w:r>
      <w:r>
        <w:rPr>
          <w:rFonts w:hint="eastAsia" w:asciiTheme="minorEastAsia" w:hAnsiTheme="minorEastAsia" w:eastAsiaTheme="minorEastAsia" w:cstheme="minorEastAsia"/>
          <w:color w:val="auto"/>
          <w:highlight w:val="none"/>
          <w:lang w:val="en-US" w:eastAsia="zh-CN"/>
        </w:rPr>
        <w:t>6</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spacing w:val="0"/>
          <w:sz w:val="24"/>
          <w:szCs w:val="24"/>
          <w:highlight w:val="none"/>
        </w:rPr>
        <w:t>供应商提交的其他资料</w:t>
      </w:r>
    </w:p>
    <w:p w14:paraId="17935889">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0"/>
          <w:sz w:val="24"/>
          <w:szCs w:val="24"/>
          <w:highlight w:val="none"/>
        </w:rPr>
        <w:t>附件7</w:t>
      </w:r>
      <w:r>
        <w:rPr>
          <w:rFonts w:hint="eastAsia" w:asciiTheme="minorEastAsia" w:hAnsiTheme="minorEastAsia" w:eastAsiaTheme="minorEastAsia" w:cstheme="minorEastAsia"/>
          <w:color w:val="auto"/>
          <w:highlight w:val="none"/>
        </w:rPr>
        <w:t>：要求作为响应文件组成部分的其他内容(若有)</w:t>
      </w:r>
    </w:p>
    <w:p w14:paraId="5D20964B">
      <w:pPr>
        <w:pStyle w:val="13"/>
        <w:widowControl/>
        <w:spacing w:before="60" w:beforeAutospacing="0" w:after="60" w:afterAutospacing="0" w:line="372"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19"/>
          <w:szCs w:val="19"/>
          <w:highlight w:val="none"/>
        </w:rPr>
        <w:t> </w:t>
      </w:r>
    </w:p>
    <w:p w14:paraId="70CEC653">
      <w:pPr>
        <w:pStyle w:val="13"/>
        <w:widowControl/>
        <w:spacing w:before="60" w:beforeAutospacing="0" w:after="192" w:afterAutospacing="0" w:line="396"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19"/>
          <w:szCs w:val="19"/>
          <w:highlight w:val="none"/>
        </w:rPr>
        <w:t> </w:t>
      </w:r>
    </w:p>
    <w:p w14:paraId="3B7B4370">
      <w:pPr>
        <w:pStyle w:val="13"/>
        <w:widowControl/>
        <w:spacing w:before="60" w:beforeAutospacing="0" w:after="60" w:afterAutospacing="0" w:line="396" w:lineRule="atLeas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19"/>
          <w:szCs w:val="19"/>
          <w:highlight w:val="none"/>
        </w:rPr>
        <w:br w:type="page"/>
      </w:r>
      <w:r>
        <w:rPr>
          <w:rFonts w:hint="eastAsia" w:asciiTheme="minorEastAsia" w:hAnsiTheme="minorEastAsia" w:eastAsiaTheme="minorEastAsia" w:cstheme="minorEastAsia"/>
          <w:color w:val="auto"/>
          <w:highlight w:val="none"/>
        </w:rPr>
        <w:t>附件1</w:t>
      </w:r>
      <w:r>
        <w:rPr>
          <w:rFonts w:hint="eastAsia" w:asciiTheme="minorEastAsia" w:hAnsiTheme="minorEastAsia" w:eastAsiaTheme="minorEastAsia" w:cstheme="minorEastAsia"/>
          <w:color w:val="auto"/>
          <w:sz w:val="16"/>
          <w:szCs w:val="16"/>
          <w:highlight w:val="none"/>
        </w:rPr>
        <w:t> </w:t>
      </w:r>
      <w:r>
        <w:rPr>
          <w:rFonts w:hint="eastAsia" w:asciiTheme="minorEastAsia" w:hAnsiTheme="minorEastAsia" w:eastAsiaTheme="minorEastAsia" w:cstheme="minorEastAsia"/>
          <w:color w:val="auto"/>
          <w:sz w:val="22"/>
          <w:szCs w:val="22"/>
          <w:highlight w:val="none"/>
        </w:rPr>
        <w:t>              </w:t>
      </w:r>
    </w:p>
    <w:p w14:paraId="1C9E4CF5">
      <w:pPr>
        <w:pStyle w:val="13"/>
        <w:widowControl/>
        <w:spacing w:before="60" w:beforeAutospacing="0" w:after="60" w:afterAutospacing="0" w:line="396" w:lineRule="atLeas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28"/>
          <w:szCs w:val="28"/>
          <w:highlight w:val="none"/>
        </w:rPr>
        <w:t>磋商响应声明</w:t>
      </w:r>
    </w:p>
    <w:p w14:paraId="1709F3EB">
      <w:pPr>
        <w:pStyle w:val="13"/>
        <w:widowControl/>
        <w:spacing w:before="60" w:beforeAutospacing="0" w:after="6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19"/>
          <w:szCs w:val="19"/>
          <w:highlight w:val="none"/>
        </w:rPr>
        <w:t> </w:t>
      </w:r>
    </w:p>
    <w:p w14:paraId="4948444A">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spacing w:val="0"/>
          <w:sz w:val="24"/>
          <w:szCs w:val="24"/>
          <w:highlight w:val="none"/>
          <w:u w:val="single"/>
        </w:rPr>
        <w:t>(采购人或采购代理机构)</w:t>
      </w:r>
    </w:p>
    <w:p w14:paraId="3B80E3E6">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1.根据贵方为</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项目(项目编号:</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公告(或</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邀请书)，我方签字代表</w:t>
      </w:r>
      <w:r>
        <w:rPr>
          <w:rFonts w:hint="eastAsia" w:asciiTheme="minorEastAsia" w:hAnsiTheme="minorEastAsia" w:eastAsiaTheme="minorEastAsia" w:cstheme="minorEastAsia"/>
          <w:color w:val="auto"/>
          <w:highlight w:val="none"/>
          <w:u w:val="single"/>
        </w:rPr>
        <w:t>          (全名、职务)   </w:t>
      </w:r>
      <w:r>
        <w:rPr>
          <w:rFonts w:hint="eastAsia" w:asciiTheme="minorEastAsia" w:hAnsiTheme="minorEastAsia" w:eastAsiaTheme="minorEastAsia" w:cstheme="minorEastAsia"/>
          <w:color w:val="auto"/>
          <w:highlight w:val="none"/>
        </w:rPr>
        <w:t>经正式授权并代表的供应商</w:t>
      </w:r>
      <w:r>
        <w:rPr>
          <w:rFonts w:hint="eastAsia" w:asciiTheme="minorEastAsia" w:hAnsiTheme="minorEastAsia" w:eastAsiaTheme="minorEastAsia" w:cstheme="minorEastAsia"/>
          <w:color w:val="auto"/>
          <w:highlight w:val="none"/>
          <w:u w:val="single"/>
        </w:rPr>
        <w:t>          (供应商名称、地址)    </w:t>
      </w:r>
      <w:r>
        <w:rPr>
          <w:rFonts w:hint="eastAsia" w:asciiTheme="minorEastAsia" w:hAnsiTheme="minorEastAsia" w:eastAsiaTheme="minorEastAsia" w:cstheme="minorEastAsia"/>
          <w:color w:val="auto"/>
          <w:highlight w:val="none"/>
        </w:rPr>
        <w:t>提交包含下述内容的首次响应文件纸质文本正本</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套，副本</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套及电子文档</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套。</w:t>
      </w:r>
    </w:p>
    <w:p w14:paraId="0C530F6D">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(1)响应函</w:t>
      </w:r>
    </w:p>
    <w:p w14:paraId="6F37AC1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(2)报价一览表</w:t>
      </w:r>
    </w:p>
    <w:p w14:paraId="547CA74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(3)资格证明文件</w:t>
      </w:r>
    </w:p>
    <w:p w14:paraId="6C4BE416">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(4)技术和商务偏离表</w:t>
      </w:r>
    </w:p>
    <w:p w14:paraId="228E4ACF">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5</w:t>
      </w:r>
      <w:r>
        <w:rPr>
          <w:rFonts w:hint="eastAsia" w:asciiTheme="minorEastAsia" w:hAnsiTheme="minorEastAsia" w:eastAsiaTheme="minorEastAsia" w:cstheme="minorEastAsia"/>
          <w:color w:val="auto"/>
          <w:highlight w:val="none"/>
        </w:rPr>
        <w:t>)相关技术、商务、服务响应承诺及资料</w:t>
      </w:r>
    </w:p>
    <w:p w14:paraId="007E5256">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6</w:t>
      </w:r>
      <w:r>
        <w:rPr>
          <w:rFonts w:hint="eastAsia" w:asciiTheme="minorEastAsia" w:hAnsiTheme="minorEastAsia" w:eastAsiaTheme="minorEastAsia" w:cstheme="minorEastAsia"/>
          <w:color w:val="auto"/>
          <w:highlight w:val="none"/>
        </w:rPr>
        <w:t>)供应商提交的其他资料</w:t>
      </w:r>
    </w:p>
    <w:p w14:paraId="48A796A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7</w:t>
      </w:r>
      <w:r>
        <w:rPr>
          <w:rFonts w:hint="eastAsia" w:asciiTheme="minorEastAsia" w:hAnsiTheme="minorEastAsia" w:eastAsiaTheme="minorEastAsia" w:cstheme="minorEastAsia"/>
          <w:color w:val="auto"/>
          <w:highlight w:val="none"/>
        </w:rPr>
        <w:t>)按照磋商文件规定，要求作为响应文件组成部分的其他内容(若有)</w:t>
      </w:r>
    </w:p>
    <w:p w14:paraId="75AB286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2.据此函，我方宣布响应承诺如下：</w:t>
      </w:r>
    </w:p>
    <w:p w14:paraId="6E94084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2.1我方已详细审查全部竞争性磋商文件，包括澄清、修改、补充或更正文件(如有的话)和有关附件，我方完全熟悉和理解其中的要求、条款和条件，且无任何异议。除了我方已在技术和商务偏离表中列出的负偏差和不响应外，我方承诺将按竞争性磋商文件的各项规定履行合同责任和义务。竞争性磋商文件及其附件资料如果有涉及应当保密的内容，我方将严格遵守规定，不将应当保密的内容泄密给第三方或另作它用，如有违反，</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人可依法追究我方的法律责任。</w:t>
      </w:r>
    </w:p>
    <w:p w14:paraId="34FC9C2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一旦我方获得成交，我方将按照竞争性磋商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磋商文件的要求，并在规定的期限内与</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人签订合同。</w:t>
      </w:r>
    </w:p>
    <w:p w14:paraId="37BA0BFF">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2.3我方承诺：递交的所有响应文件(包括首次响应文件、补充澄清、最后报价等响应文件)在竞争性磋商须知前附表第</w:t>
      </w:r>
      <w:r>
        <w:rPr>
          <w:rFonts w:hint="eastAsia" w:asciiTheme="minorEastAsia" w:hAnsiTheme="minorEastAsia" w:eastAsiaTheme="minorEastAsia" w:cstheme="minorEastAsia"/>
          <w:color w:val="auto"/>
          <w:highlight w:val="none"/>
          <w:lang w:val="en-US" w:eastAsia="zh-CN"/>
        </w:rPr>
        <w:t>4</w:t>
      </w:r>
      <w:r>
        <w:rPr>
          <w:rFonts w:hint="eastAsia" w:asciiTheme="minorEastAsia" w:hAnsiTheme="minorEastAsia" w:eastAsiaTheme="minorEastAsia" w:cstheme="minorEastAsia"/>
          <w:color w:val="auto"/>
          <w:highlight w:val="none"/>
        </w:rPr>
        <w:t>项规定的响应文件有效期内始终保持有效，我方将受此约束。我方对响应文件中的所有承诺、声明、数据和资料的真实性、准确性、合法性、有效性负责；我方响应文件中有关复印件或扫描件资料均与原件一致。如有违反，我方将承担法律责任和后果。</w:t>
      </w:r>
    </w:p>
    <w:p w14:paraId="1D5C1AC7">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2.4我方已经按照磋商文件要求提交磋商保证金。我方如果发生任何竞争性磋商文件中所述不予退还磋商保证金的情况，则我方的磋商保证金将被贵方不予退还，我方对此无异议。</w:t>
      </w:r>
    </w:p>
    <w:p w14:paraId="595F2A3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2.5我方愿意向贵方提供任何与本项目磋商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有关的数据或资料。若贵方需要，我方愿意提供我方作出的一切承诺的证明材料。</w:t>
      </w:r>
    </w:p>
    <w:p w14:paraId="138A43F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2.6我方联系方式、电子</w:t>
      </w:r>
      <w:r>
        <w:rPr>
          <w:rFonts w:hint="eastAsia" w:asciiTheme="minorEastAsia" w:hAnsiTheme="minorEastAsia" w:eastAsiaTheme="minorEastAsia" w:cstheme="minorEastAsia"/>
          <w:color w:val="auto"/>
          <w:highlight w:val="none"/>
          <w:lang w:val="en-US" w:eastAsia="zh-CN"/>
        </w:rPr>
        <w:t>邮</w:t>
      </w:r>
      <w:r>
        <w:rPr>
          <w:rFonts w:hint="eastAsia" w:asciiTheme="minorEastAsia" w:hAnsiTheme="minorEastAsia" w:eastAsiaTheme="minorEastAsia" w:cstheme="minorEastAsia"/>
          <w:color w:val="auto"/>
          <w:highlight w:val="none"/>
        </w:rPr>
        <w:t>箱和通信地址等信息如下，用于接受贵方发出的与本次磋商活动有关的一切往来信息或通知(包括补充、澄清和成交通知等)，我方自行承担信息错误、通讯设备故障或延误查收信息给我方带来的后果和责任。贵方按我方写明的下述联系方式、电子信箱或通信地址发出任何信息或通知，均视同为我方已收悉并知晓，我方均予以认可。</w:t>
      </w:r>
    </w:p>
    <w:p w14:paraId="08CC778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4E06C87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76E686B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通信地址:</w:t>
      </w:r>
      <w:r>
        <w:rPr>
          <w:rFonts w:hint="eastAsia" w:asciiTheme="minorEastAsia" w:hAnsiTheme="minorEastAsia" w:eastAsiaTheme="minorEastAsia" w:cstheme="minorEastAsia"/>
          <w:color w:val="auto"/>
          <w:highlight w:val="none"/>
          <w:u w:val="single"/>
        </w:rPr>
        <w:t>                     </w:t>
      </w:r>
    </w:p>
    <w:p w14:paraId="7DF96D43">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邮编：</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  </w:t>
      </w:r>
    </w:p>
    <w:p w14:paraId="0D88346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联系电话：</w:t>
      </w:r>
      <w:r>
        <w:rPr>
          <w:rFonts w:hint="eastAsia" w:asciiTheme="minorEastAsia" w:hAnsiTheme="minorEastAsia" w:eastAsiaTheme="minorEastAsia" w:cstheme="minorEastAsia"/>
          <w:color w:val="auto"/>
          <w:highlight w:val="none"/>
          <w:u w:val="single"/>
        </w:rPr>
        <w:t>     </w:t>
      </w:r>
    </w:p>
    <w:p w14:paraId="0C24AC3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w:t>
      </w:r>
    </w:p>
    <w:p w14:paraId="1805A7E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供应商代表电子</w:t>
      </w:r>
      <w:r>
        <w:rPr>
          <w:rFonts w:hint="eastAsia" w:asciiTheme="minorEastAsia" w:hAnsiTheme="minorEastAsia" w:eastAsiaTheme="minorEastAsia" w:cstheme="minorEastAsia"/>
          <w:color w:val="auto"/>
          <w:highlight w:val="none"/>
          <w:lang w:val="en-US" w:eastAsia="zh-CN"/>
        </w:rPr>
        <w:t>邮</w:t>
      </w:r>
      <w:r>
        <w:rPr>
          <w:rFonts w:hint="eastAsia" w:asciiTheme="minorEastAsia" w:hAnsiTheme="minorEastAsia" w:eastAsiaTheme="minorEastAsia" w:cstheme="minorEastAsia"/>
          <w:color w:val="auto"/>
          <w:highlight w:val="none"/>
        </w:rPr>
        <w:t>箱：</w:t>
      </w:r>
      <w:r>
        <w:rPr>
          <w:rFonts w:hint="eastAsia" w:asciiTheme="minorEastAsia" w:hAnsiTheme="minorEastAsia" w:eastAsiaTheme="minorEastAsia" w:cstheme="minorEastAsia"/>
          <w:color w:val="auto"/>
          <w:highlight w:val="none"/>
          <w:u w:val="single"/>
        </w:rPr>
        <w:t>        </w:t>
      </w:r>
    </w:p>
    <w:p w14:paraId="60045A7D">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w:t>
      </w:r>
      <w:r>
        <w:rPr>
          <w:rFonts w:hint="eastAsia" w:asciiTheme="minorEastAsia" w:hAnsiTheme="minorEastAsia" w:eastAsiaTheme="minorEastAsia" w:cstheme="minorEastAsia"/>
          <w:color w:val="auto"/>
          <w:highlight w:val="none"/>
          <w:u w:val="single"/>
        </w:rPr>
        <w:t>         (全称并加盖公章)</w:t>
      </w:r>
    </w:p>
    <w:p w14:paraId="0CF3A5C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25C5B1DF">
      <w:pPr>
        <w:pStyle w:val="13"/>
        <w:widowControl/>
        <w:spacing w:before="60" w:beforeAutospacing="0" w:after="6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19"/>
          <w:szCs w:val="19"/>
          <w:highlight w:val="none"/>
        </w:rPr>
        <w:t> </w:t>
      </w:r>
    </w:p>
    <w:p w14:paraId="4E50CDCC">
      <w:pPr>
        <w:pStyle w:val="13"/>
        <w:widowControl/>
        <w:spacing w:before="60" w:beforeAutospacing="0" w:after="60" w:afterAutospacing="0" w:line="348"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19"/>
          <w:szCs w:val="19"/>
          <w:highlight w:val="none"/>
        </w:rPr>
        <w:t> </w:t>
      </w:r>
    </w:p>
    <w:p w14:paraId="62D37AFC">
      <w:pPr>
        <w:pStyle w:val="13"/>
        <w:widowControl/>
        <w:spacing w:before="60" w:beforeAutospacing="0" w:after="60" w:afterAutospacing="0" w:line="300"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19"/>
          <w:szCs w:val="19"/>
          <w:highlight w:val="none"/>
        </w:rPr>
        <w:t> </w:t>
      </w:r>
    </w:p>
    <w:p w14:paraId="3EE3B5D1">
      <w:pPr>
        <w:pStyle w:val="13"/>
        <w:widowControl/>
        <w:spacing w:before="60" w:beforeAutospacing="0" w:after="60" w:afterAutospacing="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19"/>
          <w:szCs w:val="19"/>
          <w:highlight w:val="none"/>
        </w:rPr>
        <w:t> </w:t>
      </w:r>
    </w:p>
    <w:p w14:paraId="69C3B12B">
      <w:pPr>
        <w:pStyle w:val="13"/>
        <w:widowControl/>
        <w:spacing w:before="60" w:beforeAutospacing="0" w:after="60" w:afterAutospacing="0"/>
        <w:rPr>
          <w:rFonts w:hint="eastAsia" w:asciiTheme="minorEastAsia" w:hAnsiTheme="minorEastAsia" w:eastAsiaTheme="minorEastAsia" w:cstheme="minorEastAsia"/>
          <w:color w:val="auto"/>
          <w:sz w:val="19"/>
          <w:szCs w:val="19"/>
          <w:highlight w:val="none"/>
        </w:rPr>
        <w:sectPr>
          <w:footerReference r:id="rId3" w:type="default"/>
          <w:pgSz w:w="11906" w:h="16838"/>
          <w:pgMar w:top="1440" w:right="1310" w:bottom="1440" w:left="1310" w:header="851" w:footer="992" w:gutter="0"/>
          <w:pgNumType w:fmt="decimal" w:start="1"/>
          <w:cols w:space="720" w:num="1"/>
          <w:docGrid w:type="lines" w:linePitch="312" w:charSpace="0"/>
        </w:sectPr>
      </w:pPr>
    </w:p>
    <w:p w14:paraId="4CF5137E">
      <w:pPr>
        <w:pStyle w:val="13"/>
        <w:widowControl/>
        <w:spacing w:before="60" w:beforeAutospacing="0" w:after="60" w:afterAutospacing="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highlight w:val="none"/>
        </w:rPr>
        <w:t>附件2</w:t>
      </w:r>
      <w:r>
        <w:rPr>
          <w:rFonts w:hint="eastAsia" w:asciiTheme="minorEastAsia" w:hAnsiTheme="minorEastAsia" w:eastAsiaTheme="minorEastAsia" w:cstheme="minorEastAsia"/>
          <w:color w:val="auto"/>
          <w:sz w:val="22"/>
          <w:szCs w:val="22"/>
          <w:highlight w:val="none"/>
        </w:rPr>
        <w:t>             </w:t>
      </w:r>
    </w:p>
    <w:p w14:paraId="2B531E3D">
      <w:pPr>
        <w:pStyle w:val="13"/>
        <w:widowControl/>
        <w:spacing w:before="60" w:beforeAutospacing="0" w:after="60" w:afterAutospacing="0"/>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28"/>
          <w:szCs w:val="28"/>
          <w:highlight w:val="none"/>
        </w:rPr>
        <w:t>报价一览表</w:t>
      </w:r>
    </w:p>
    <w:p w14:paraId="5A47B696">
      <w:pPr>
        <w:pStyle w:val="13"/>
        <w:widowControl/>
        <w:spacing w:before="60" w:beforeAutospacing="0" w:after="60" w:afterAutospacing="0" w:line="300"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19"/>
          <w:szCs w:val="19"/>
          <w:highlight w:val="none"/>
        </w:rPr>
        <w:t> </w:t>
      </w:r>
    </w:p>
    <w:p w14:paraId="76025414">
      <w:pPr>
        <w:pStyle w:val="13"/>
        <w:widowControl/>
        <w:spacing w:before="60" w:beforeAutospacing="0" w:after="60" w:afterAutospacing="0" w:line="300"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(全称加盖单位公章)</w:t>
      </w:r>
      <w:r>
        <w:rPr>
          <w:rFonts w:hint="eastAsia" w:asciiTheme="minorEastAsia" w:hAnsiTheme="minorEastAsia" w:eastAsiaTheme="minorEastAsia" w:cstheme="minorEastAsia"/>
          <w:color w:val="auto"/>
          <w:highlight w:val="none"/>
        </w:rPr>
        <w:t>项目编号∶</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 货币单位：元人民币</w:t>
      </w:r>
    </w:p>
    <w:tbl>
      <w:tblPr>
        <w:tblStyle w:val="16"/>
        <w:tblW w:w="9971" w:type="dxa"/>
        <w:tblCellSpacing w:w="15" w:type="dxa"/>
        <w:tblInd w:w="-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202"/>
        <w:gridCol w:w="3415"/>
        <w:gridCol w:w="2319"/>
        <w:gridCol w:w="1682"/>
        <w:gridCol w:w="1353"/>
      </w:tblGrid>
      <w:tr w14:paraId="6D7A6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32" w:hRule="atLeast"/>
          <w:tblCellSpacing w:w="15" w:type="dxa"/>
        </w:trPr>
        <w:tc>
          <w:tcPr>
            <w:tcW w:w="1157" w:type="dxa"/>
            <w:noWrap w:val="0"/>
            <w:tcMar>
              <w:top w:w="0" w:type="dxa"/>
              <w:left w:w="84" w:type="dxa"/>
              <w:bottom w:w="0" w:type="dxa"/>
              <w:right w:w="84" w:type="dxa"/>
            </w:tcMar>
            <w:vAlign w:val="center"/>
          </w:tcPr>
          <w:p w14:paraId="56509F8C">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合同包</w:t>
            </w:r>
          </w:p>
        </w:tc>
        <w:tc>
          <w:tcPr>
            <w:tcW w:w="3385" w:type="dxa"/>
            <w:noWrap w:val="0"/>
            <w:tcMar>
              <w:top w:w="0" w:type="dxa"/>
              <w:left w:w="84" w:type="dxa"/>
              <w:bottom w:w="0" w:type="dxa"/>
              <w:right w:w="84" w:type="dxa"/>
            </w:tcMar>
            <w:vAlign w:val="center"/>
          </w:tcPr>
          <w:p w14:paraId="38567359">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首次报价</w:t>
            </w:r>
          </w:p>
        </w:tc>
        <w:tc>
          <w:tcPr>
            <w:tcW w:w="2289" w:type="dxa"/>
            <w:noWrap w:val="0"/>
            <w:tcMar>
              <w:top w:w="0" w:type="dxa"/>
              <w:left w:w="84" w:type="dxa"/>
              <w:bottom w:w="0" w:type="dxa"/>
              <w:right w:w="84" w:type="dxa"/>
            </w:tcMar>
            <w:vAlign w:val="center"/>
          </w:tcPr>
          <w:p w14:paraId="2C1EBC98">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服务时间</w:t>
            </w:r>
          </w:p>
        </w:tc>
        <w:tc>
          <w:tcPr>
            <w:tcW w:w="1652" w:type="dxa"/>
            <w:noWrap w:val="0"/>
            <w:tcMar>
              <w:top w:w="0" w:type="dxa"/>
              <w:left w:w="84" w:type="dxa"/>
              <w:bottom w:w="0" w:type="dxa"/>
              <w:right w:w="84" w:type="dxa"/>
            </w:tcMar>
            <w:vAlign w:val="center"/>
          </w:tcPr>
          <w:p w14:paraId="3A69A02D">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磋商保证金</w:t>
            </w:r>
          </w:p>
        </w:tc>
        <w:tc>
          <w:tcPr>
            <w:tcW w:w="1308" w:type="dxa"/>
            <w:noWrap w:val="0"/>
            <w:tcMar>
              <w:top w:w="0" w:type="dxa"/>
              <w:left w:w="84" w:type="dxa"/>
              <w:bottom w:w="0" w:type="dxa"/>
              <w:right w:w="84" w:type="dxa"/>
            </w:tcMar>
            <w:vAlign w:val="center"/>
          </w:tcPr>
          <w:p w14:paraId="5D8AE2CA">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w:t>
            </w:r>
          </w:p>
        </w:tc>
      </w:tr>
      <w:tr w14:paraId="63274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32" w:hRule="atLeast"/>
          <w:tblCellSpacing w:w="15" w:type="dxa"/>
        </w:trPr>
        <w:tc>
          <w:tcPr>
            <w:tcW w:w="1157" w:type="dxa"/>
            <w:noWrap w:val="0"/>
            <w:tcMar>
              <w:top w:w="0" w:type="dxa"/>
              <w:left w:w="84" w:type="dxa"/>
              <w:bottom w:w="0" w:type="dxa"/>
              <w:right w:w="84" w:type="dxa"/>
            </w:tcMar>
            <w:vAlign w:val="center"/>
          </w:tcPr>
          <w:p w14:paraId="297FA4A8">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val="en-US" w:eastAsia="zh-CN"/>
              </w:rPr>
              <w:t>1</w:t>
            </w:r>
          </w:p>
        </w:tc>
        <w:tc>
          <w:tcPr>
            <w:tcW w:w="3385" w:type="dxa"/>
            <w:noWrap w:val="0"/>
            <w:tcMar>
              <w:top w:w="0" w:type="dxa"/>
              <w:left w:w="84" w:type="dxa"/>
              <w:bottom w:w="0" w:type="dxa"/>
              <w:right w:w="84" w:type="dxa"/>
            </w:tcMar>
            <w:vAlign w:val="center"/>
          </w:tcPr>
          <w:p w14:paraId="32215DCC">
            <w:pPr>
              <w:widowControl/>
              <w:jc w:val="center"/>
              <w:rPr>
                <w:rFonts w:hint="eastAsia" w:asciiTheme="minorEastAsia" w:hAnsiTheme="minorEastAsia" w:eastAsiaTheme="minorEastAsia" w:cstheme="minorEastAsia"/>
                <w:color w:val="auto"/>
                <w:sz w:val="24"/>
                <w:highlight w:val="none"/>
                <w:lang w:val="en-US" w:eastAsia="zh-CN"/>
              </w:rPr>
            </w:pPr>
          </w:p>
        </w:tc>
        <w:tc>
          <w:tcPr>
            <w:tcW w:w="2289" w:type="dxa"/>
            <w:noWrap w:val="0"/>
            <w:tcMar>
              <w:top w:w="0" w:type="dxa"/>
              <w:left w:w="84" w:type="dxa"/>
              <w:bottom w:w="0" w:type="dxa"/>
              <w:right w:w="84" w:type="dxa"/>
            </w:tcMar>
            <w:vAlign w:val="center"/>
          </w:tcPr>
          <w:p w14:paraId="2F5CFAA1">
            <w:pPr>
              <w:widowControl/>
              <w:jc w:val="center"/>
              <w:rPr>
                <w:rFonts w:hint="eastAsia" w:asciiTheme="minorEastAsia" w:hAnsiTheme="minorEastAsia" w:eastAsiaTheme="minorEastAsia" w:cstheme="minorEastAsia"/>
                <w:color w:val="auto"/>
                <w:sz w:val="24"/>
                <w:highlight w:val="none"/>
              </w:rPr>
            </w:pPr>
          </w:p>
        </w:tc>
        <w:tc>
          <w:tcPr>
            <w:tcW w:w="1652" w:type="dxa"/>
            <w:noWrap w:val="0"/>
            <w:tcMar>
              <w:top w:w="0" w:type="dxa"/>
              <w:left w:w="84" w:type="dxa"/>
              <w:bottom w:w="0" w:type="dxa"/>
              <w:right w:w="84" w:type="dxa"/>
            </w:tcMar>
            <w:vAlign w:val="center"/>
          </w:tcPr>
          <w:p w14:paraId="4727A334">
            <w:pPr>
              <w:widowControl/>
              <w:jc w:val="center"/>
              <w:rPr>
                <w:rFonts w:hint="eastAsia" w:asciiTheme="minorEastAsia" w:hAnsiTheme="minorEastAsia" w:eastAsiaTheme="minorEastAsia" w:cstheme="minorEastAsia"/>
                <w:color w:val="auto"/>
                <w:sz w:val="24"/>
                <w:highlight w:val="none"/>
                <w:lang w:val="en-US" w:eastAsia="zh-CN"/>
              </w:rPr>
            </w:pPr>
          </w:p>
        </w:tc>
        <w:tc>
          <w:tcPr>
            <w:tcW w:w="1308" w:type="dxa"/>
            <w:noWrap w:val="0"/>
            <w:tcMar>
              <w:top w:w="0" w:type="dxa"/>
              <w:left w:w="84" w:type="dxa"/>
              <w:bottom w:w="0" w:type="dxa"/>
              <w:right w:w="84" w:type="dxa"/>
            </w:tcMar>
            <w:vAlign w:val="center"/>
          </w:tcPr>
          <w:p w14:paraId="26F5FCAB">
            <w:pPr>
              <w:widowControl/>
              <w:jc w:val="center"/>
              <w:rPr>
                <w:rFonts w:hint="eastAsia" w:asciiTheme="minorEastAsia" w:hAnsiTheme="minorEastAsia" w:eastAsiaTheme="minorEastAsia" w:cstheme="minorEastAsia"/>
                <w:color w:val="auto"/>
                <w:sz w:val="24"/>
                <w:highlight w:val="none"/>
              </w:rPr>
            </w:pPr>
          </w:p>
        </w:tc>
      </w:tr>
    </w:tbl>
    <w:p w14:paraId="68F2A437">
      <w:pPr>
        <w:pStyle w:val="13"/>
        <w:widowControl/>
        <w:spacing w:before="60" w:beforeAutospacing="0" w:after="60" w:afterAutospacing="0" w:line="300"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15579B52">
      <w:pPr>
        <w:pStyle w:val="13"/>
        <w:widowControl/>
        <w:spacing w:before="60" w:beforeAutospacing="0" w:after="60" w:afterAutospacing="0" w:line="300"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供应商代表：</w:t>
      </w:r>
      <w:r>
        <w:rPr>
          <w:rFonts w:hint="eastAsia" w:asciiTheme="minorEastAsia" w:hAnsiTheme="minorEastAsia" w:eastAsiaTheme="minorEastAsia" w:cstheme="minorEastAsia"/>
          <w:color w:val="auto"/>
          <w:highlight w:val="none"/>
          <w:u w:val="single"/>
        </w:rPr>
        <w:t>      (签字)</w:t>
      </w:r>
      <w:r>
        <w:rPr>
          <w:rFonts w:hint="eastAsia" w:asciiTheme="minorEastAsia" w:hAnsiTheme="minorEastAsia" w:eastAsiaTheme="minorEastAsia" w:cstheme="minorEastAsia"/>
          <w:color w:val="auto"/>
          <w:highlight w:val="none"/>
        </w:rPr>
        <w:t>   </w:t>
      </w:r>
    </w:p>
    <w:p w14:paraId="5ED07EDA">
      <w:pPr>
        <w:pStyle w:val="13"/>
        <w:widowControl/>
        <w:spacing w:before="60" w:beforeAutospacing="0" w:after="60" w:afterAutospacing="0" w:line="300"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19"/>
          <w:szCs w:val="19"/>
          <w:highlight w:val="none"/>
        </w:rPr>
        <w:t> </w:t>
      </w:r>
    </w:p>
    <w:p w14:paraId="5944E968">
      <w:pPr>
        <w:pStyle w:val="13"/>
        <w:widowControl/>
        <w:spacing w:before="60" w:beforeAutospacing="0" w:after="60" w:afterAutospacing="0"/>
        <w:rPr>
          <w:rFonts w:hint="eastAsia" w:asciiTheme="minorEastAsia" w:hAnsiTheme="minorEastAsia" w:eastAsiaTheme="minorEastAsia" w:cstheme="minorEastAsia"/>
          <w:color w:val="auto"/>
          <w:sz w:val="19"/>
          <w:szCs w:val="19"/>
          <w:highlight w:val="none"/>
          <w:lang w:eastAsia="zh-CN"/>
        </w:rPr>
      </w:pPr>
    </w:p>
    <w:p w14:paraId="735D2AE6">
      <w:pPr>
        <w:pStyle w:val="13"/>
        <w:widowControl/>
        <w:spacing w:before="60" w:beforeAutospacing="0" w:after="60" w:afterAutospacing="0"/>
        <w:rPr>
          <w:rFonts w:hint="eastAsia" w:asciiTheme="minorEastAsia" w:hAnsiTheme="minorEastAsia" w:eastAsiaTheme="minorEastAsia" w:cstheme="minorEastAsia"/>
          <w:color w:val="auto"/>
          <w:sz w:val="19"/>
          <w:szCs w:val="19"/>
          <w:highlight w:val="none"/>
          <w:lang w:eastAsia="zh-CN"/>
        </w:rPr>
      </w:pPr>
    </w:p>
    <w:p w14:paraId="33D40962">
      <w:pPr>
        <w:pStyle w:val="13"/>
        <w:widowControl/>
        <w:spacing w:before="60" w:beforeAutospacing="0" w:after="60" w:afterAutospacing="0" w:line="300"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19"/>
          <w:szCs w:val="19"/>
          <w:highlight w:val="none"/>
        </w:rPr>
        <w:br w:type="page"/>
      </w:r>
      <w:r>
        <w:rPr>
          <w:rFonts w:hint="eastAsia" w:asciiTheme="minorEastAsia" w:hAnsiTheme="minorEastAsia" w:eastAsiaTheme="minorEastAsia" w:cstheme="minorEastAsia"/>
          <w:color w:val="auto"/>
          <w:highlight w:val="none"/>
        </w:rPr>
        <w:t>附件3         </w:t>
      </w:r>
    </w:p>
    <w:p w14:paraId="7AE6C46F">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资格证明文件</w:t>
      </w:r>
    </w:p>
    <w:p w14:paraId="0452D46B">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61A8371F">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附件3-1       </w:t>
      </w:r>
    </w:p>
    <w:p w14:paraId="3779DC27">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参加竞争性磋商的声明函</w:t>
      </w:r>
    </w:p>
    <w:p w14:paraId="0835CB62">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46FF4EC7">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spacing w:val="0"/>
          <w:sz w:val="24"/>
          <w:szCs w:val="24"/>
          <w:highlight w:val="none"/>
          <w:u w:val="single"/>
        </w:rPr>
        <w:t>采购人或采购代理机构)</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 </w:t>
      </w:r>
    </w:p>
    <w:p w14:paraId="1CF4088E">
      <w:pPr>
        <w:pStyle w:val="13"/>
        <w:widowControl/>
        <w:spacing w:before="0" w:beforeAutospacing="0" w:after="0" w:afterAutospacing="0" w:line="500" w:lineRule="exact"/>
        <w:ind w:firstLine="480" w:firstLineChars="2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1、关于贵方______年______月______日</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项目(项目编号:</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pacing w:val="0"/>
          <w:sz w:val="24"/>
          <w:szCs w:val="24"/>
          <w:highlight w:val="none"/>
        </w:rPr>
        <w:t>采购公告</w:t>
      </w:r>
      <w:r>
        <w:rPr>
          <w:rFonts w:hint="eastAsia" w:asciiTheme="minorEastAsia" w:hAnsiTheme="minorEastAsia" w:eastAsiaTheme="minorEastAsia" w:cstheme="minorEastAsia"/>
          <w:color w:val="auto"/>
          <w:highlight w:val="none"/>
        </w:rPr>
        <w:t>(或</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邀请)，本签字人代表供应商参加竞争性磋商，我方提供竞争性磋商文件中规定的相应资料和说明。本签字人确认响应文件中所有提交的文件、声明或资料(包括但不限于资格证明文件)是真实的、合法的、准确的、有效的。</w:t>
      </w:r>
    </w:p>
    <w:p w14:paraId="24B03611">
      <w:pPr>
        <w:pStyle w:val="13"/>
        <w:widowControl/>
        <w:spacing w:before="0" w:beforeAutospacing="0" w:after="0" w:afterAutospacing="0" w:line="500" w:lineRule="exact"/>
        <w:ind w:left="432"/>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2、供应商的基本概况：</w:t>
      </w:r>
    </w:p>
    <w:p w14:paraId="3A8DE9B1">
      <w:pPr>
        <w:pStyle w:val="13"/>
        <w:widowControl/>
        <w:spacing w:before="0" w:beforeAutospacing="0" w:after="0" w:afterAutospacing="0" w:line="500" w:lineRule="exact"/>
        <w:ind w:left="432"/>
        <w:rPr>
          <w:rFonts w:hint="eastAsia" w:asciiTheme="minorEastAsia" w:hAnsiTheme="minorEastAsia" w:eastAsiaTheme="minorEastAsia" w:cstheme="minorEastAsia"/>
          <w:color w:val="auto"/>
          <w:highlight w:val="none"/>
          <w:u w:val="single"/>
          <w:lang w:eastAsia="zh-CN"/>
        </w:rPr>
      </w:pPr>
      <w:r>
        <w:rPr>
          <w:rFonts w:hint="eastAsia" w:asciiTheme="minorEastAsia" w:hAnsiTheme="minorEastAsia" w:eastAsiaTheme="minorEastAsia" w:cstheme="minorEastAsia"/>
          <w:color w:val="auto"/>
          <w:highlight w:val="none"/>
        </w:rPr>
        <w:t>2.1供应商单位名称：</w:t>
      </w:r>
      <w:r>
        <w:rPr>
          <w:rFonts w:hint="eastAsia" w:asciiTheme="minorEastAsia" w:hAnsiTheme="minorEastAsia" w:eastAsiaTheme="minorEastAsia" w:cstheme="minorEastAsia"/>
          <w:color w:val="auto"/>
          <w:highlight w:val="none"/>
          <w:u w:val="single"/>
        </w:rPr>
        <w:t>                             </w:t>
      </w:r>
    </w:p>
    <w:p w14:paraId="4F5B4AF8">
      <w:pPr>
        <w:pStyle w:val="13"/>
        <w:widowControl/>
        <w:spacing w:before="0" w:beforeAutospacing="0" w:after="0" w:afterAutospacing="0" w:line="500" w:lineRule="exact"/>
        <w:ind w:left="432"/>
        <w:rPr>
          <w:rFonts w:hint="eastAsia" w:asciiTheme="minorEastAsia" w:hAnsiTheme="minorEastAsia" w:eastAsiaTheme="minorEastAsia" w:cstheme="minorEastAsia"/>
          <w:color w:val="auto"/>
          <w:highlight w:val="none"/>
          <w:u w:val="single"/>
          <w:lang w:eastAsia="zh-CN"/>
        </w:rPr>
      </w:pPr>
      <w:r>
        <w:rPr>
          <w:rFonts w:hint="eastAsia" w:asciiTheme="minorEastAsia" w:hAnsiTheme="minorEastAsia" w:eastAsiaTheme="minorEastAsia" w:cstheme="minorEastAsia"/>
          <w:color w:val="auto"/>
          <w:highlight w:val="none"/>
        </w:rPr>
        <w:t>2.2注册地址：</w:t>
      </w:r>
      <w:r>
        <w:rPr>
          <w:rFonts w:hint="eastAsia" w:asciiTheme="minorEastAsia" w:hAnsiTheme="minorEastAsia" w:eastAsiaTheme="minorEastAsia" w:cstheme="minorEastAsia"/>
          <w:color w:val="auto"/>
          <w:highlight w:val="none"/>
          <w:u w:val="single"/>
        </w:rPr>
        <w:t>                      </w:t>
      </w:r>
    </w:p>
    <w:p w14:paraId="773C6D9E">
      <w:pPr>
        <w:pStyle w:val="13"/>
        <w:widowControl/>
        <w:spacing w:before="0" w:beforeAutospacing="0" w:after="0" w:afterAutospacing="0" w:line="500" w:lineRule="exact"/>
        <w:ind w:left="432"/>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2.3单位负责人姓名：</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性别：</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年龄：</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职务：</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w:t>
      </w:r>
    </w:p>
    <w:p w14:paraId="20F962FF">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备注：“单位负责人”指单位法定代表人(供应商为法人的)或法律、法规规定代表单位行使职权的主要负责人(供应商为其他组织的)。</w:t>
      </w:r>
    </w:p>
    <w:p w14:paraId="38B2CB25">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对于接受联合体形式的磋商且供应商是联合体的，则联合体各成员都应当提交本资格证明文件。</w:t>
      </w:r>
    </w:p>
    <w:p w14:paraId="04F6ADB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0915160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7E219025">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 </w:t>
      </w:r>
    </w:p>
    <w:p w14:paraId="503FBE63">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7E87189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610F11DF">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4D15A5F5">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5D81CA5E">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658BE6F9">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p>
    <w:p w14:paraId="116AFF8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r>
        <w:rPr>
          <w:rFonts w:hint="eastAsia" w:asciiTheme="minorEastAsia" w:hAnsiTheme="minorEastAsia" w:eastAsiaTheme="minorEastAsia" w:cstheme="minorEastAsia"/>
          <w:color w:val="auto"/>
          <w:highlight w:val="none"/>
        </w:rPr>
        <w:t>附件3-2        </w:t>
      </w:r>
    </w:p>
    <w:p w14:paraId="5F7C58CB">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供应商的资格声明</w:t>
      </w:r>
    </w:p>
    <w:p w14:paraId="2F038364">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61F3EB19">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spacing w:val="0"/>
          <w:sz w:val="24"/>
          <w:szCs w:val="24"/>
          <w:highlight w:val="none"/>
          <w:u w:val="single"/>
        </w:rPr>
        <w:t>(采购人或采购代理机构)</w:t>
      </w:r>
      <w:r>
        <w:rPr>
          <w:rFonts w:hint="eastAsia" w:asciiTheme="minorEastAsia" w:hAnsiTheme="minorEastAsia" w:eastAsiaTheme="minorEastAsia" w:cstheme="minorEastAsia"/>
          <w:color w:val="auto"/>
          <w:highlight w:val="none"/>
          <w:u w:val="single"/>
        </w:rPr>
        <w:t>      </w:t>
      </w:r>
    </w:p>
    <w:p w14:paraId="42AF00E5">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 </w:t>
      </w:r>
      <w:r>
        <w:rPr>
          <w:rFonts w:hint="eastAsia" w:asciiTheme="minorEastAsia" w:hAnsiTheme="minorEastAsia" w:eastAsiaTheme="minorEastAsia" w:cstheme="minorEastAsia"/>
          <w:color w:val="auto"/>
          <w:highlight w:val="none"/>
        </w:rPr>
        <w:t>1、我方已知晓竞争性磋商文件要求并认真审核自身情况，在此郑重声明，我方具备并满足下列各项条款的规定。本声明如有虚假或不实之处，我方将失去合格供应商资格且我方的磋商保证金将不予退还。</w:t>
      </w:r>
    </w:p>
    <w:tbl>
      <w:tblPr>
        <w:tblStyle w:val="16"/>
        <w:tblW w:w="9971"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586"/>
        <w:gridCol w:w="3385"/>
      </w:tblGrid>
      <w:tr w14:paraId="7251B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1" w:type="dxa"/>
            <w:noWrap w:val="0"/>
            <w:tcMar>
              <w:top w:w="0" w:type="dxa"/>
              <w:left w:w="84" w:type="dxa"/>
              <w:bottom w:w="0" w:type="dxa"/>
              <w:right w:w="84" w:type="dxa"/>
            </w:tcMar>
            <w:vAlign w:val="center"/>
          </w:tcPr>
          <w:p w14:paraId="1CA8EBB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《中华人民共和国政府采购法》第二十二条对供应商的要求</w:t>
            </w:r>
          </w:p>
        </w:tc>
        <w:tc>
          <w:tcPr>
            <w:tcW w:w="3340" w:type="dxa"/>
            <w:noWrap w:val="0"/>
            <w:tcMar>
              <w:top w:w="0" w:type="dxa"/>
              <w:left w:w="84" w:type="dxa"/>
              <w:bottom w:w="0" w:type="dxa"/>
              <w:right w:w="84" w:type="dxa"/>
            </w:tcMar>
            <w:vAlign w:val="center"/>
          </w:tcPr>
          <w:p w14:paraId="36104CA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供应商对是否符合要求做如实声明</w:t>
            </w:r>
          </w:p>
        </w:tc>
      </w:tr>
      <w:tr w14:paraId="39A2D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1" w:type="dxa"/>
            <w:noWrap w:val="0"/>
            <w:tcMar>
              <w:top w:w="0" w:type="dxa"/>
              <w:left w:w="84" w:type="dxa"/>
              <w:bottom w:w="0" w:type="dxa"/>
              <w:right w:w="84" w:type="dxa"/>
            </w:tcMar>
            <w:vAlign w:val="center"/>
          </w:tcPr>
          <w:p w14:paraId="13129C33">
            <w:pPr>
              <w:pStyle w:val="13"/>
              <w:widowControl/>
              <w:spacing w:before="0" w:beforeAutospacing="0" w:after="0" w:afterAutospacing="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(1)具有独立承担民事责任的能力</w:t>
            </w:r>
          </w:p>
        </w:tc>
        <w:tc>
          <w:tcPr>
            <w:tcW w:w="3340" w:type="dxa"/>
            <w:noWrap w:val="0"/>
            <w:tcMar>
              <w:top w:w="0" w:type="dxa"/>
              <w:left w:w="84" w:type="dxa"/>
              <w:bottom w:w="0" w:type="dxa"/>
              <w:right w:w="84" w:type="dxa"/>
            </w:tcMar>
            <w:vAlign w:val="center"/>
          </w:tcPr>
          <w:p w14:paraId="0FE62CEC">
            <w:pPr>
              <w:widowControl/>
              <w:jc w:val="center"/>
              <w:rPr>
                <w:rFonts w:hint="eastAsia" w:asciiTheme="minorEastAsia" w:hAnsiTheme="minorEastAsia" w:eastAsiaTheme="minorEastAsia" w:cstheme="minorEastAsia"/>
                <w:color w:val="auto"/>
                <w:sz w:val="24"/>
                <w:highlight w:val="none"/>
              </w:rPr>
            </w:pPr>
          </w:p>
        </w:tc>
      </w:tr>
      <w:tr w14:paraId="6FF37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1" w:type="dxa"/>
            <w:noWrap w:val="0"/>
            <w:tcMar>
              <w:top w:w="0" w:type="dxa"/>
              <w:left w:w="84" w:type="dxa"/>
              <w:bottom w:w="0" w:type="dxa"/>
              <w:right w:w="84" w:type="dxa"/>
            </w:tcMar>
            <w:vAlign w:val="center"/>
          </w:tcPr>
          <w:p w14:paraId="10453DF7">
            <w:pPr>
              <w:pStyle w:val="13"/>
              <w:widowControl/>
              <w:spacing w:before="0" w:beforeAutospacing="0" w:after="0" w:afterAutospacing="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(2)具有良好的商业信誉和健全的财务会计制度</w:t>
            </w:r>
          </w:p>
        </w:tc>
        <w:tc>
          <w:tcPr>
            <w:tcW w:w="3340" w:type="dxa"/>
            <w:noWrap w:val="0"/>
            <w:tcMar>
              <w:top w:w="0" w:type="dxa"/>
              <w:left w:w="84" w:type="dxa"/>
              <w:bottom w:w="0" w:type="dxa"/>
              <w:right w:w="84" w:type="dxa"/>
            </w:tcMar>
            <w:vAlign w:val="center"/>
          </w:tcPr>
          <w:p w14:paraId="540369A7">
            <w:pPr>
              <w:widowControl/>
              <w:jc w:val="center"/>
              <w:rPr>
                <w:rFonts w:hint="eastAsia" w:asciiTheme="minorEastAsia" w:hAnsiTheme="minorEastAsia" w:eastAsiaTheme="minorEastAsia" w:cstheme="minorEastAsia"/>
                <w:color w:val="auto"/>
                <w:sz w:val="24"/>
                <w:highlight w:val="none"/>
              </w:rPr>
            </w:pPr>
          </w:p>
        </w:tc>
      </w:tr>
      <w:tr w14:paraId="4DDF8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1" w:type="dxa"/>
            <w:noWrap w:val="0"/>
            <w:tcMar>
              <w:top w:w="0" w:type="dxa"/>
              <w:left w:w="84" w:type="dxa"/>
              <w:bottom w:w="0" w:type="dxa"/>
              <w:right w:w="84" w:type="dxa"/>
            </w:tcMar>
            <w:vAlign w:val="center"/>
          </w:tcPr>
          <w:p w14:paraId="198D29FC">
            <w:pPr>
              <w:pStyle w:val="13"/>
              <w:widowControl/>
              <w:spacing w:before="0" w:beforeAutospacing="0" w:after="0" w:afterAutospacing="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(3)具有履行合同所必需的设备和专业技术能力</w:t>
            </w:r>
          </w:p>
        </w:tc>
        <w:tc>
          <w:tcPr>
            <w:tcW w:w="3340" w:type="dxa"/>
            <w:noWrap w:val="0"/>
            <w:tcMar>
              <w:top w:w="0" w:type="dxa"/>
              <w:left w:w="84" w:type="dxa"/>
              <w:bottom w:w="0" w:type="dxa"/>
              <w:right w:w="84" w:type="dxa"/>
            </w:tcMar>
            <w:vAlign w:val="center"/>
          </w:tcPr>
          <w:p w14:paraId="02CE870D">
            <w:pPr>
              <w:widowControl/>
              <w:jc w:val="center"/>
              <w:rPr>
                <w:rFonts w:hint="eastAsia" w:asciiTheme="minorEastAsia" w:hAnsiTheme="minorEastAsia" w:eastAsiaTheme="minorEastAsia" w:cstheme="minorEastAsia"/>
                <w:color w:val="auto"/>
                <w:sz w:val="24"/>
                <w:highlight w:val="none"/>
              </w:rPr>
            </w:pPr>
          </w:p>
        </w:tc>
      </w:tr>
      <w:tr w14:paraId="24DF6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1" w:type="dxa"/>
            <w:noWrap w:val="0"/>
            <w:tcMar>
              <w:top w:w="0" w:type="dxa"/>
              <w:left w:w="84" w:type="dxa"/>
              <w:bottom w:w="0" w:type="dxa"/>
              <w:right w:w="84" w:type="dxa"/>
            </w:tcMar>
            <w:vAlign w:val="center"/>
          </w:tcPr>
          <w:p w14:paraId="09D8CADD">
            <w:pPr>
              <w:pStyle w:val="13"/>
              <w:widowControl/>
              <w:spacing w:before="0" w:beforeAutospacing="0" w:after="0" w:afterAutospacing="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(4)有依法缴纳税收和社会保障资金的良好记录</w:t>
            </w:r>
          </w:p>
        </w:tc>
        <w:tc>
          <w:tcPr>
            <w:tcW w:w="3340" w:type="dxa"/>
            <w:noWrap w:val="0"/>
            <w:tcMar>
              <w:top w:w="0" w:type="dxa"/>
              <w:left w:w="84" w:type="dxa"/>
              <w:bottom w:w="0" w:type="dxa"/>
              <w:right w:w="84" w:type="dxa"/>
            </w:tcMar>
            <w:vAlign w:val="center"/>
          </w:tcPr>
          <w:p w14:paraId="3110E799">
            <w:pPr>
              <w:widowControl/>
              <w:jc w:val="center"/>
              <w:rPr>
                <w:rFonts w:hint="eastAsia" w:asciiTheme="minorEastAsia" w:hAnsiTheme="minorEastAsia" w:eastAsiaTheme="minorEastAsia" w:cstheme="minorEastAsia"/>
                <w:color w:val="auto"/>
                <w:sz w:val="24"/>
                <w:highlight w:val="none"/>
              </w:rPr>
            </w:pPr>
          </w:p>
        </w:tc>
      </w:tr>
      <w:tr w14:paraId="7697F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1" w:type="dxa"/>
            <w:noWrap w:val="0"/>
            <w:tcMar>
              <w:top w:w="0" w:type="dxa"/>
              <w:left w:w="84" w:type="dxa"/>
              <w:bottom w:w="0" w:type="dxa"/>
              <w:right w:w="84" w:type="dxa"/>
            </w:tcMar>
            <w:vAlign w:val="center"/>
          </w:tcPr>
          <w:p w14:paraId="6C6305C0">
            <w:pPr>
              <w:pStyle w:val="13"/>
              <w:widowControl/>
              <w:spacing w:before="0" w:beforeAutospacing="0" w:after="0" w:afterAutospacing="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(5)参加</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活动前三年内，在经营活动中没有重大违法记录</w:t>
            </w:r>
          </w:p>
        </w:tc>
        <w:tc>
          <w:tcPr>
            <w:tcW w:w="3340" w:type="dxa"/>
            <w:noWrap w:val="0"/>
            <w:tcMar>
              <w:top w:w="0" w:type="dxa"/>
              <w:left w:w="84" w:type="dxa"/>
              <w:bottom w:w="0" w:type="dxa"/>
              <w:right w:w="84" w:type="dxa"/>
            </w:tcMar>
            <w:vAlign w:val="center"/>
          </w:tcPr>
          <w:p w14:paraId="3947C4A5">
            <w:pPr>
              <w:widowControl/>
              <w:jc w:val="center"/>
              <w:rPr>
                <w:rFonts w:hint="eastAsia" w:asciiTheme="minorEastAsia" w:hAnsiTheme="minorEastAsia" w:eastAsiaTheme="minorEastAsia" w:cstheme="minorEastAsia"/>
                <w:color w:val="auto"/>
                <w:sz w:val="24"/>
                <w:highlight w:val="none"/>
              </w:rPr>
            </w:pPr>
          </w:p>
        </w:tc>
      </w:tr>
      <w:tr w14:paraId="5F2EA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1" w:type="dxa"/>
            <w:noWrap w:val="0"/>
            <w:tcMar>
              <w:top w:w="0" w:type="dxa"/>
              <w:left w:w="84" w:type="dxa"/>
              <w:bottom w:w="0" w:type="dxa"/>
              <w:right w:w="84" w:type="dxa"/>
            </w:tcMar>
            <w:vAlign w:val="center"/>
          </w:tcPr>
          <w:p w14:paraId="44A9A7E0">
            <w:pPr>
              <w:pStyle w:val="13"/>
              <w:widowControl/>
              <w:spacing w:before="0" w:beforeAutospacing="0" w:after="0" w:afterAutospacing="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(6)法律、行政法规规定的其他条件。</w:t>
            </w:r>
          </w:p>
        </w:tc>
        <w:tc>
          <w:tcPr>
            <w:tcW w:w="3340" w:type="dxa"/>
            <w:noWrap w:val="0"/>
            <w:tcMar>
              <w:top w:w="0" w:type="dxa"/>
              <w:left w:w="84" w:type="dxa"/>
              <w:bottom w:w="0" w:type="dxa"/>
              <w:right w:w="84" w:type="dxa"/>
            </w:tcMar>
            <w:vAlign w:val="center"/>
          </w:tcPr>
          <w:p w14:paraId="027C7F1C">
            <w:pPr>
              <w:widowControl/>
              <w:jc w:val="center"/>
              <w:rPr>
                <w:rFonts w:hint="eastAsia" w:asciiTheme="minorEastAsia" w:hAnsiTheme="minorEastAsia" w:eastAsiaTheme="minorEastAsia" w:cstheme="minorEastAsia"/>
                <w:color w:val="auto"/>
                <w:sz w:val="24"/>
                <w:highlight w:val="none"/>
              </w:rPr>
            </w:pPr>
          </w:p>
        </w:tc>
      </w:tr>
      <w:tr w14:paraId="11037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3" w:hRule="atLeast"/>
          <w:tblCellSpacing w:w="15" w:type="dxa"/>
        </w:trPr>
        <w:tc>
          <w:tcPr>
            <w:tcW w:w="6541" w:type="dxa"/>
            <w:noWrap w:val="0"/>
            <w:tcMar>
              <w:top w:w="0" w:type="dxa"/>
              <w:left w:w="84" w:type="dxa"/>
              <w:bottom w:w="0" w:type="dxa"/>
              <w:right w:w="84" w:type="dxa"/>
            </w:tcMar>
            <w:vAlign w:val="center"/>
          </w:tcPr>
          <w:p w14:paraId="2539E2C6">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磋商文件对合格供应商的一般规定</w:t>
            </w:r>
          </w:p>
        </w:tc>
        <w:tc>
          <w:tcPr>
            <w:tcW w:w="3340" w:type="dxa"/>
            <w:noWrap w:val="0"/>
            <w:tcMar>
              <w:top w:w="0" w:type="dxa"/>
              <w:left w:w="84" w:type="dxa"/>
              <w:bottom w:w="0" w:type="dxa"/>
              <w:right w:w="84" w:type="dxa"/>
            </w:tcMar>
            <w:vAlign w:val="center"/>
          </w:tcPr>
          <w:p w14:paraId="5C8D12F4">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供应商对是否违反一般规定做如实声明</w:t>
            </w:r>
          </w:p>
        </w:tc>
      </w:tr>
      <w:tr w14:paraId="3D14E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1" w:type="dxa"/>
            <w:noWrap w:val="0"/>
            <w:tcMar>
              <w:top w:w="0" w:type="dxa"/>
              <w:left w:w="84" w:type="dxa"/>
              <w:bottom w:w="0" w:type="dxa"/>
              <w:right w:w="84" w:type="dxa"/>
            </w:tcMar>
            <w:vAlign w:val="center"/>
          </w:tcPr>
          <w:p w14:paraId="2A69CDF7">
            <w:pPr>
              <w:pStyle w:val="13"/>
              <w:widowControl/>
              <w:spacing w:before="0" w:beforeAutospacing="0" w:after="0" w:afterAutospacing="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供应商应当遵守中国的有关法律、法规和规章的规定，参加</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活动时已经自觉检查并按照政府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相关法律规定，主动回避相应利害关系。</w:t>
            </w:r>
          </w:p>
        </w:tc>
        <w:tc>
          <w:tcPr>
            <w:tcW w:w="3340" w:type="dxa"/>
            <w:noWrap w:val="0"/>
            <w:tcMar>
              <w:top w:w="0" w:type="dxa"/>
              <w:left w:w="84" w:type="dxa"/>
              <w:bottom w:w="0" w:type="dxa"/>
              <w:right w:w="84" w:type="dxa"/>
            </w:tcMar>
            <w:vAlign w:val="center"/>
          </w:tcPr>
          <w:p w14:paraId="649A716E">
            <w:pPr>
              <w:widowControl/>
              <w:jc w:val="left"/>
              <w:rPr>
                <w:rFonts w:hint="eastAsia" w:asciiTheme="minorEastAsia" w:hAnsiTheme="minorEastAsia" w:eastAsiaTheme="minorEastAsia" w:cstheme="minorEastAsia"/>
                <w:color w:val="auto"/>
                <w:sz w:val="24"/>
                <w:highlight w:val="none"/>
              </w:rPr>
            </w:pPr>
          </w:p>
        </w:tc>
      </w:tr>
      <w:tr w14:paraId="3A367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1" w:type="dxa"/>
            <w:noWrap w:val="0"/>
            <w:tcMar>
              <w:top w:w="0" w:type="dxa"/>
              <w:left w:w="84" w:type="dxa"/>
              <w:bottom w:w="0" w:type="dxa"/>
              <w:right w:w="84" w:type="dxa"/>
            </w:tcMar>
            <w:vAlign w:val="center"/>
          </w:tcPr>
          <w:p w14:paraId="1CF49031">
            <w:pPr>
              <w:pStyle w:val="13"/>
              <w:widowControl/>
              <w:spacing w:before="0" w:beforeAutospacing="0" w:after="0" w:afterAutospacing="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为</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项目提供整体设计、规范编制或项目管理、监理、检测等服务的供应商，不得再参加该</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项目除整体设计、规范编制和项目管理、监理、检测等服务之外的其他</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w:t>
            </w:r>
          </w:p>
        </w:tc>
        <w:tc>
          <w:tcPr>
            <w:tcW w:w="3340" w:type="dxa"/>
            <w:noWrap w:val="0"/>
            <w:tcMar>
              <w:top w:w="0" w:type="dxa"/>
              <w:left w:w="84" w:type="dxa"/>
              <w:bottom w:w="0" w:type="dxa"/>
              <w:right w:w="84" w:type="dxa"/>
            </w:tcMar>
            <w:vAlign w:val="center"/>
          </w:tcPr>
          <w:p w14:paraId="3E9EBD13">
            <w:pPr>
              <w:widowControl/>
              <w:jc w:val="left"/>
              <w:rPr>
                <w:rFonts w:hint="eastAsia" w:asciiTheme="minorEastAsia" w:hAnsiTheme="minorEastAsia" w:eastAsiaTheme="minorEastAsia" w:cstheme="minorEastAsia"/>
                <w:color w:val="auto"/>
                <w:sz w:val="24"/>
                <w:highlight w:val="none"/>
              </w:rPr>
            </w:pPr>
          </w:p>
        </w:tc>
      </w:tr>
      <w:tr w14:paraId="161FF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1" w:type="dxa"/>
            <w:noWrap w:val="0"/>
            <w:tcMar>
              <w:top w:w="0" w:type="dxa"/>
              <w:left w:w="84" w:type="dxa"/>
              <w:bottom w:w="0" w:type="dxa"/>
              <w:right w:w="84" w:type="dxa"/>
            </w:tcMar>
            <w:vAlign w:val="center"/>
          </w:tcPr>
          <w:p w14:paraId="606B8544">
            <w:pPr>
              <w:pStyle w:val="13"/>
              <w:widowControl/>
              <w:spacing w:before="0" w:beforeAutospacing="0" w:after="0" w:afterAutospacing="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列入失信被执行人、重大税收违法案件当事人名单、政府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严重违法失信行为记录名单的供应商，不得参加</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w:t>
            </w:r>
          </w:p>
        </w:tc>
        <w:tc>
          <w:tcPr>
            <w:tcW w:w="3340" w:type="dxa"/>
            <w:noWrap w:val="0"/>
            <w:tcMar>
              <w:top w:w="0" w:type="dxa"/>
              <w:left w:w="84" w:type="dxa"/>
              <w:bottom w:w="0" w:type="dxa"/>
              <w:right w:w="84" w:type="dxa"/>
            </w:tcMar>
            <w:vAlign w:val="center"/>
          </w:tcPr>
          <w:p w14:paraId="2207E068">
            <w:pPr>
              <w:widowControl/>
              <w:jc w:val="left"/>
              <w:rPr>
                <w:rFonts w:hint="eastAsia" w:asciiTheme="minorEastAsia" w:hAnsiTheme="minorEastAsia" w:eastAsiaTheme="minorEastAsia" w:cstheme="minorEastAsia"/>
                <w:color w:val="auto"/>
                <w:sz w:val="24"/>
                <w:highlight w:val="none"/>
              </w:rPr>
            </w:pPr>
          </w:p>
        </w:tc>
      </w:tr>
    </w:tbl>
    <w:p w14:paraId="436AEBD1">
      <w:pPr>
        <w:pStyle w:val="13"/>
        <w:widowControl/>
        <w:spacing w:before="0" w:beforeAutospacing="0" w:after="0" w:afterAutospacing="0" w:line="500" w:lineRule="exact"/>
        <w:ind w:firstLine="384"/>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2、我方对上述声明的真实性、合法性、准确性、有效性负责，并愿意根据磋商文件和磋商过程中贵方要求提供全部现有资料、数据、文件等予以证实。</w:t>
      </w:r>
    </w:p>
    <w:p w14:paraId="30786159">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备注：对于接受联合体形式的磋商且供应商是联合体的，则联合体各成员都应当提交本资格证明文件。</w:t>
      </w:r>
    </w:p>
    <w:p w14:paraId="695F0C27">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 </w:t>
      </w:r>
    </w:p>
    <w:p w14:paraId="7465E442">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71645DC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391CF780">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p>
    <w:p w14:paraId="50D0A771">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p>
    <w:p w14:paraId="264AA1F5">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附件3-3          </w:t>
      </w:r>
    </w:p>
    <w:p w14:paraId="197B5A54">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单位负责人授权书</w:t>
      </w:r>
    </w:p>
    <w:p w14:paraId="6CF7CCE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spacing w:val="0"/>
          <w:sz w:val="24"/>
          <w:szCs w:val="24"/>
          <w:highlight w:val="none"/>
          <w:u w:val="single"/>
        </w:rPr>
        <w:t> (采购人或采购代理机构)</w:t>
      </w:r>
      <w:r>
        <w:rPr>
          <w:rFonts w:hint="eastAsia" w:asciiTheme="minorEastAsia" w:hAnsiTheme="minorEastAsia" w:eastAsiaTheme="minorEastAsia" w:cstheme="minorEastAsia"/>
          <w:color w:val="auto"/>
          <w:highlight w:val="none"/>
          <w:u w:val="single"/>
        </w:rPr>
        <w:t>     </w:t>
      </w:r>
    </w:p>
    <w:p w14:paraId="1080B1E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84"/>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我方的单位负责人</w:t>
      </w:r>
      <w:r>
        <w:rPr>
          <w:rFonts w:hint="eastAsia" w:asciiTheme="minorEastAsia" w:hAnsiTheme="minorEastAsia" w:eastAsiaTheme="minorEastAsia" w:cstheme="minorEastAsia"/>
          <w:color w:val="auto"/>
          <w:highlight w:val="none"/>
          <w:u w:val="single"/>
        </w:rPr>
        <w:t>(填写“单位负责人全名”)</w:t>
      </w:r>
      <w:r>
        <w:rPr>
          <w:rFonts w:hint="eastAsia" w:asciiTheme="minorEastAsia" w:hAnsiTheme="minorEastAsia" w:eastAsiaTheme="minorEastAsia" w:cstheme="minorEastAsia"/>
          <w:color w:val="auto"/>
          <w:highlight w:val="none"/>
        </w:rPr>
        <w:t>授权</w:t>
      </w:r>
      <w:r>
        <w:rPr>
          <w:rFonts w:hint="eastAsia" w:asciiTheme="minorEastAsia" w:hAnsiTheme="minorEastAsia" w:eastAsiaTheme="minorEastAsia" w:cstheme="minorEastAsia"/>
          <w:color w:val="auto"/>
          <w:highlight w:val="none"/>
          <w:u w:val="single"/>
        </w:rPr>
        <w:t>(填写“供应商代表全名”)</w:t>
      </w:r>
      <w:r>
        <w:rPr>
          <w:rFonts w:hint="eastAsia" w:asciiTheme="minorEastAsia" w:hAnsiTheme="minorEastAsia" w:eastAsiaTheme="minorEastAsia" w:cstheme="minorEastAsia"/>
          <w:color w:val="auto"/>
          <w:highlight w:val="none"/>
        </w:rPr>
        <w:t>为我方的供应商代表，代表我方参加</w:t>
      </w:r>
      <w:r>
        <w:rPr>
          <w:rFonts w:hint="eastAsia" w:asciiTheme="minorEastAsia" w:hAnsiTheme="minorEastAsia" w:eastAsiaTheme="minorEastAsia" w:cstheme="minorEastAsia"/>
          <w:color w:val="auto"/>
          <w:highlight w:val="none"/>
          <w:u w:val="single"/>
        </w:rPr>
        <w:t>  (填写“项目名称”)   </w:t>
      </w:r>
      <w:r>
        <w:rPr>
          <w:rFonts w:hint="eastAsia" w:asciiTheme="minorEastAsia" w:hAnsiTheme="minorEastAsia" w:eastAsiaTheme="minorEastAsia" w:cstheme="minorEastAsia"/>
          <w:color w:val="auto"/>
          <w:highlight w:val="none"/>
        </w:rPr>
        <w:t>项目(项目编号：</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的响应磋商，全权代表我方处理响应磋商过程的一切事宜，包括但不限于：递交响应文件、参与磋商、澄清、签约等工作。供应商代表在响应磋商过程中所签署的一切文件和处理与之有关的一切事务，我方均予以认可并对此承担责任。</w:t>
      </w:r>
    </w:p>
    <w:p w14:paraId="1D79A6DE">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供应商代表无转委权。特此授权。</w:t>
      </w:r>
    </w:p>
    <w:p w14:paraId="2AD4EC4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(以下无正文)</w:t>
      </w:r>
    </w:p>
    <w:p w14:paraId="190EC3BF">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单位负责人：</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身份证号：</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手机：</w:t>
      </w:r>
      <w:r>
        <w:rPr>
          <w:rFonts w:hint="eastAsia" w:asciiTheme="minorEastAsia" w:hAnsiTheme="minorEastAsia" w:eastAsiaTheme="minorEastAsia" w:cstheme="minorEastAsia"/>
          <w:color w:val="auto"/>
          <w:highlight w:val="none"/>
          <w:u w:val="single"/>
        </w:rPr>
        <w:t>      </w:t>
      </w:r>
    </w:p>
    <w:p w14:paraId="4EC69DBA">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身份证号：</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手机：</w:t>
      </w:r>
      <w:r>
        <w:rPr>
          <w:rFonts w:hint="eastAsia" w:asciiTheme="minorEastAsia" w:hAnsiTheme="minorEastAsia" w:eastAsiaTheme="minorEastAsia" w:cstheme="minorEastAsia"/>
          <w:color w:val="auto"/>
          <w:highlight w:val="none"/>
          <w:u w:val="single"/>
        </w:rPr>
        <w:t>      </w:t>
      </w:r>
    </w:p>
    <w:p w14:paraId="2726463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授权方</w:t>
      </w:r>
    </w:p>
    <w:p w14:paraId="5315F4D4">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w:t>
      </w:r>
      <w:r>
        <w:rPr>
          <w:rFonts w:hint="eastAsia" w:asciiTheme="minorEastAsia" w:hAnsiTheme="minorEastAsia" w:eastAsiaTheme="minorEastAsia" w:cstheme="minorEastAsia"/>
          <w:color w:val="auto"/>
          <w:highlight w:val="none"/>
          <w:u w:val="single"/>
        </w:rPr>
        <w:t>(全称并加盖单位公章)</w:t>
      </w:r>
    </w:p>
    <w:p w14:paraId="49E597A4">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单位负责人签字或盖章：</w:t>
      </w:r>
      <w:r>
        <w:rPr>
          <w:rFonts w:hint="eastAsia" w:asciiTheme="minorEastAsia" w:hAnsiTheme="minorEastAsia" w:eastAsiaTheme="minorEastAsia" w:cstheme="minorEastAsia"/>
          <w:color w:val="auto"/>
          <w:highlight w:val="none"/>
          <w:u w:val="single"/>
        </w:rPr>
        <w:t>                   </w:t>
      </w:r>
    </w:p>
    <w:p w14:paraId="5A3EFD6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接受授权方</w:t>
      </w:r>
    </w:p>
    <w:p w14:paraId="56EF2F8A">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供应商代表签字：</w:t>
      </w:r>
      <w:r>
        <w:rPr>
          <w:rFonts w:hint="eastAsia" w:asciiTheme="minorEastAsia" w:hAnsiTheme="minorEastAsia" w:eastAsiaTheme="minorEastAsia" w:cstheme="minorEastAsia"/>
          <w:color w:val="auto"/>
          <w:highlight w:val="none"/>
          <w:u w:val="single"/>
        </w:rPr>
        <w:t>                   </w:t>
      </w:r>
    </w:p>
    <w:p w14:paraId="7D22EF83">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righ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签署日期：</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010B2E42">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附：单位负责人、供应商代表的身份证正反面复印件</w:t>
      </w:r>
    </w:p>
    <w:tbl>
      <w:tblPr>
        <w:tblStyle w:val="16"/>
        <w:tblW w:w="9971" w:type="dxa"/>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9971"/>
      </w:tblGrid>
      <w:tr w14:paraId="3A237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6" w:hRule="atLeast"/>
          <w:tblCellSpacing w:w="15" w:type="dxa"/>
          <w:jc w:val="center"/>
        </w:trPr>
        <w:tc>
          <w:tcPr>
            <w:tcW w:w="9911" w:type="dxa"/>
            <w:noWrap w:val="0"/>
            <w:tcMar>
              <w:top w:w="0" w:type="dxa"/>
              <w:left w:w="84" w:type="dxa"/>
              <w:bottom w:w="0" w:type="dxa"/>
              <w:right w:w="84" w:type="dxa"/>
            </w:tcMar>
            <w:vAlign w:val="center"/>
          </w:tcPr>
          <w:p w14:paraId="0A648333">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 </w:t>
            </w:r>
          </w:p>
          <w:p w14:paraId="0F672D20">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要求：真实、有效、清晰</w:t>
            </w:r>
          </w:p>
          <w:p w14:paraId="41A22610">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 </w:t>
            </w:r>
          </w:p>
        </w:tc>
      </w:tr>
    </w:tbl>
    <w:p w14:paraId="64F68324">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★注意：</w:t>
      </w:r>
    </w:p>
    <w:p w14:paraId="144941E3">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1、企业(银行、保险、石油石化、电力、电信等行业除外)、事业单位和社会团体法人的“单位负责人”指</w:t>
      </w:r>
      <w:r>
        <w:rPr>
          <w:rStyle w:val="19"/>
          <w:rFonts w:hint="eastAsia" w:asciiTheme="minorEastAsia" w:hAnsiTheme="minorEastAsia" w:eastAsiaTheme="minorEastAsia" w:cstheme="minorEastAsia"/>
          <w:color w:val="auto"/>
          <w:sz w:val="21"/>
          <w:szCs w:val="21"/>
          <w:highlight w:val="none"/>
        </w:rPr>
        <w:t>法定代表人</w:t>
      </w:r>
      <w:r>
        <w:rPr>
          <w:rFonts w:hint="eastAsia" w:asciiTheme="minorEastAsia" w:hAnsiTheme="minorEastAsia" w:eastAsiaTheme="minorEastAsia" w:cstheme="minorEastAsia"/>
          <w:color w:val="auto"/>
          <w:sz w:val="21"/>
          <w:szCs w:val="21"/>
          <w:highlight w:val="none"/>
        </w:rPr>
        <w:t>，即与实际提交的“营业执照等证明文件”载明的一致。</w:t>
      </w:r>
    </w:p>
    <w:p w14:paraId="6996CD9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2、银行、保险、石油石化、电力、电信等行业：以法人身份参加磋商的，“单位负责人”指</w:t>
      </w:r>
      <w:r>
        <w:rPr>
          <w:rStyle w:val="19"/>
          <w:rFonts w:hint="eastAsia" w:asciiTheme="minorEastAsia" w:hAnsiTheme="minorEastAsia" w:eastAsiaTheme="minorEastAsia" w:cstheme="minorEastAsia"/>
          <w:color w:val="auto"/>
          <w:sz w:val="21"/>
          <w:szCs w:val="21"/>
          <w:highlight w:val="none"/>
        </w:rPr>
        <w:t>法定代表人</w:t>
      </w:r>
      <w:r>
        <w:rPr>
          <w:rFonts w:hint="eastAsia" w:asciiTheme="minorEastAsia" w:hAnsiTheme="minorEastAsia" w:eastAsiaTheme="minorEastAsia" w:cstheme="minorEastAsia"/>
          <w:color w:val="auto"/>
          <w:sz w:val="21"/>
          <w:szCs w:val="21"/>
          <w:highlight w:val="none"/>
        </w:rPr>
        <w:t>，即与实际提交的“营业执照等证明文件”载明的一致；以非法人身份参加磋商的，“单位负责人”指</w:t>
      </w:r>
      <w:r>
        <w:rPr>
          <w:rStyle w:val="19"/>
          <w:rFonts w:hint="eastAsia" w:asciiTheme="minorEastAsia" w:hAnsiTheme="minorEastAsia" w:eastAsiaTheme="minorEastAsia" w:cstheme="minorEastAsia"/>
          <w:color w:val="auto"/>
          <w:sz w:val="21"/>
          <w:szCs w:val="21"/>
          <w:highlight w:val="none"/>
        </w:rPr>
        <w:t>代表单位行使职权的主要负责人</w:t>
      </w:r>
      <w:r>
        <w:rPr>
          <w:rFonts w:hint="eastAsia" w:asciiTheme="minorEastAsia" w:hAnsiTheme="minorEastAsia" w:eastAsiaTheme="minorEastAsia" w:cstheme="minorEastAsia"/>
          <w:color w:val="auto"/>
          <w:sz w:val="21"/>
          <w:szCs w:val="21"/>
          <w:highlight w:val="none"/>
        </w:rPr>
        <w:t>，即与实际提交的“营业执照等证明文件”载明的一致。</w:t>
      </w:r>
    </w:p>
    <w:p w14:paraId="44E2B6C3">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负责响应文件签字的供应商代表如果不是上述规定的单位负责人，则供应商应当在响应文件中提供本授权书，纸质响应文件正本中的本授权书应为原件。供应商为自然人的，可不填写本授权书，但应当提供其身份证正反面复印件。</w:t>
      </w:r>
    </w:p>
    <w:p w14:paraId="76E3E4F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4、对于接受联合体形式的磋商且供应商是联合体的，则只需要联合体的牵头方提交本授权书，在纸质响应文件正本中的本授权书应为原件。</w:t>
      </w:r>
    </w:p>
    <w:p w14:paraId="37A45D04">
      <w:pPr>
        <w:pStyle w:val="42"/>
        <w:jc w:val="center"/>
        <w:outlineLvl w:val="2"/>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color w:val="auto"/>
          <w:sz w:val="28"/>
          <w:highlight w:val="none"/>
        </w:rPr>
        <w:t>附件3-4证明材料</w:t>
      </w:r>
    </w:p>
    <w:p w14:paraId="5C467898">
      <w:pPr>
        <w:pStyle w:val="42"/>
        <w:ind w:firstLine="48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根据采购文件须知前附表1第1项号的“（2）特定资格条件”要求，允许供应商采用资格承诺制的，可提供符合要求的3-4-1资格承诺函，视为满足采购文件的资格要求，供应商根据响应文件格式3-4-1、3-4-2提供其中一种证明材料，若重复提供导致的不利后果，由供应商自行负责。</w:t>
      </w:r>
    </w:p>
    <w:p w14:paraId="67E765BA">
      <w:pPr>
        <w:pStyle w:val="42"/>
        <w:jc w:val="center"/>
        <w:outlineLvl w:val="2"/>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color w:val="auto"/>
          <w:sz w:val="28"/>
          <w:highlight w:val="none"/>
        </w:rPr>
        <w:t>附件3-4-1福建省政府采购供应商资格承诺函</w:t>
      </w:r>
    </w:p>
    <w:p w14:paraId="567BE411">
      <w:pPr>
        <w:pStyle w:val="42"/>
        <w:ind w:firstLine="48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致：</w:t>
      </w:r>
      <w:r>
        <w:rPr>
          <w:rFonts w:hint="eastAsia" w:asciiTheme="minorEastAsia" w:hAnsiTheme="minorEastAsia" w:eastAsiaTheme="minorEastAsia" w:cstheme="minorEastAsia"/>
          <w:color w:val="auto"/>
          <w:sz w:val="21"/>
          <w:szCs w:val="21"/>
          <w:highlight w:val="none"/>
          <w:u w:val="single"/>
        </w:rPr>
        <w:t>（采购人或采购代理机构）</w:t>
      </w:r>
    </w:p>
    <w:p w14:paraId="00FD634F">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单位名称(自然人姓名):</w:t>
      </w:r>
    </w:p>
    <w:p w14:paraId="3679511C">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统一社会信用代码(自然人身份证号码):</w:t>
      </w:r>
    </w:p>
    <w:p w14:paraId="50BD8EDF">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法定代表人(负责人):</w:t>
      </w:r>
    </w:p>
    <w:p w14:paraId="035275B3">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联系地址和电话:</w:t>
      </w:r>
    </w:p>
    <w:p w14:paraId="07E6485B">
      <w:pPr>
        <w:pStyle w:val="42"/>
        <w:ind w:firstLine="48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我单位(本人)自愿参加本次政府采购活动，严格遵守《中华人民共和国政府采购法》及相关法律法规，坚守公开、公平公正和诚实信用等原则，依法诚信经营，并郑重承诺:</w:t>
      </w:r>
    </w:p>
    <w:p w14:paraId="4408C79C">
      <w:pPr>
        <w:pStyle w:val="42"/>
        <w:ind w:firstLine="48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一、我单位(本人)具备采购文件要求以及《中华人民共和国政府采购法》第二十二条规定的条件:</w:t>
      </w:r>
    </w:p>
    <w:p w14:paraId="320A1659">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1.具有独立承担民事责任的能力;</w:t>
      </w:r>
    </w:p>
    <w:p w14:paraId="4E3DFB43">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2.具有良好的商业信誉和健全的财务会计制度;</w:t>
      </w:r>
    </w:p>
    <w:p w14:paraId="7FBEC5D6">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3.具有履行合同所必需的设备和专业技术能力;</w:t>
      </w:r>
    </w:p>
    <w:p w14:paraId="12BA8CA0">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4.有依法缴纳税收和社会保障资金的良好记录;</w:t>
      </w:r>
    </w:p>
    <w:p w14:paraId="5F2B92D8">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5.参加政府采购活动前三年内，在经营活动中没有重大违法记录；</w:t>
      </w:r>
    </w:p>
    <w:p w14:paraId="31DF92D1">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6.法律、行政法规规定的其他条件。</w:t>
      </w:r>
    </w:p>
    <w:p w14:paraId="78AD845F">
      <w:pPr>
        <w:pStyle w:val="42"/>
        <w:ind w:firstLine="48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7C873E5B">
      <w:pPr>
        <w:pStyle w:val="42"/>
        <w:ind w:firstLine="48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我单位(本人)对本承诺函及所承诺事项的真实性、合法性及有效性负责，并已知晓如提供资格承诺函不实，可能涉嫌《中华人民共和国政府采购法》第七十七条第一款第(一)项规定的“提供虚假材料谋取</w:t>
      </w:r>
      <w:r>
        <w:rPr>
          <w:rFonts w:hint="eastAsia" w:asciiTheme="minorEastAsia" w:hAnsiTheme="minorEastAsia" w:cstheme="minorEastAsia"/>
          <w:color w:val="auto"/>
          <w:sz w:val="21"/>
          <w:szCs w:val="21"/>
          <w:highlight w:val="none"/>
          <w:lang w:eastAsia="zh-CN"/>
        </w:rPr>
        <w:t>成交</w:t>
      </w:r>
      <w:r>
        <w:rPr>
          <w:rFonts w:hint="eastAsia" w:asciiTheme="minorEastAsia" w:hAnsiTheme="minorEastAsia" w:eastAsiaTheme="minorEastAsia" w:cstheme="minorEastAsia"/>
          <w:color w:val="auto"/>
          <w:sz w:val="21"/>
          <w:szCs w:val="21"/>
          <w:highlight w:val="none"/>
        </w:rPr>
        <w:t>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744A49F1">
      <w:pPr>
        <w:pStyle w:val="42"/>
        <w:ind w:firstLine="480"/>
        <w:jc w:val="righ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供应商：</w:t>
      </w:r>
      <w:r>
        <w:rPr>
          <w:rFonts w:hint="eastAsia" w:asciiTheme="minorEastAsia" w:hAnsiTheme="minorEastAsia" w:eastAsiaTheme="minorEastAsia" w:cstheme="minorEastAsia"/>
          <w:color w:val="auto"/>
          <w:sz w:val="21"/>
          <w:szCs w:val="21"/>
          <w:highlight w:val="none"/>
          <w:u w:val="single"/>
        </w:rPr>
        <w:t>名称(单位公章):</w:t>
      </w:r>
    </w:p>
    <w:p w14:paraId="65876269">
      <w:pPr>
        <w:pStyle w:val="42"/>
        <w:ind w:firstLine="480"/>
        <w:jc w:val="righ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日期：</w:t>
      </w:r>
      <w:r>
        <w:rPr>
          <w:rFonts w:hint="eastAsia" w:asciiTheme="minorEastAsia" w:hAnsiTheme="minorEastAsia" w:eastAsiaTheme="minorEastAsia" w:cstheme="minorEastAsia"/>
          <w:color w:val="auto"/>
          <w:sz w:val="21"/>
          <w:szCs w:val="21"/>
          <w:highlight w:val="none"/>
          <w:u w:val="single"/>
        </w:rPr>
        <w:t>　　年　　月　　日</w:t>
      </w:r>
    </w:p>
    <w:p w14:paraId="089C0C69">
      <w:pPr>
        <w:pStyle w:val="42"/>
        <w:ind w:firstLine="48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w:t>
      </w:r>
    </w:p>
    <w:p w14:paraId="1FCD3F56">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1.我单位(本人)专指参加政府采购活动的供应商(含自然人)；</w:t>
      </w:r>
    </w:p>
    <w:p w14:paraId="7F67FD73">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2.资格承诺的供应商应在投标(响应)文件中按此模板提供承诺函，否则，视为未按照招标文件规定提交</w:t>
      </w:r>
      <w:r>
        <w:rPr>
          <w:rFonts w:hint="eastAsia" w:asciiTheme="minorEastAsia" w:hAnsiTheme="minorEastAsia" w:eastAsiaTheme="minorEastAsia" w:cstheme="minorEastAsia"/>
          <w:color w:val="auto"/>
          <w:sz w:val="21"/>
          <w:szCs w:val="21"/>
          <w:highlight w:val="none"/>
          <w:lang w:eastAsia="zh-CN"/>
        </w:rPr>
        <w:t>供应商</w:t>
      </w:r>
      <w:r>
        <w:rPr>
          <w:rFonts w:hint="eastAsia" w:asciiTheme="minorEastAsia" w:hAnsiTheme="minorEastAsia" w:eastAsiaTheme="minorEastAsia" w:cstheme="minorEastAsia"/>
          <w:color w:val="auto"/>
          <w:sz w:val="21"/>
          <w:szCs w:val="21"/>
          <w:highlight w:val="none"/>
        </w:rPr>
        <w:t>的资格及资信文件，按资格审查不通过处理。</w:t>
      </w:r>
    </w:p>
    <w:p w14:paraId="57EFA376">
      <w:pPr>
        <w:pStyle w:val="28"/>
        <w:rPr>
          <w:rFonts w:hint="eastAsia" w:asciiTheme="minorEastAsia" w:hAnsiTheme="minorEastAsia" w:eastAsiaTheme="minorEastAsia" w:cstheme="minorEastAsia"/>
          <w:b/>
          <w:color w:val="auto"/>
          <w:sz w:val="28"/>
          <w:highlight w:val="none"/>
        </w:rPr>
      </w:pPr>
    </w:p>
    <w:p w14:paraId="1BC60A46">
      <w:pPr>
        <w:pStyle w:val="28"/>
        <w:rPr>
          <w:rFonts w:hint="eastAsia" w:asciiTheme="minorEastAsia" w:hAnsiTheme="minorEastAsia" w:eastAsiaTheme="minorEastAsia" w:cstheme="minorEastAsia"/>
          <w:b/>
          <w:color w:val="auto"/>
          <w:sz w:val="28"/>
          <w:highlight w:val="none"/>
        </w:rPr>
      </w:pPr>
    </w:p>
    <w:p w14:paraId="0FE87BFE">
      <w:pPr>
        <w:pStyle w:val="28"/>
        <w:rPr>
          <w:rFonts w:hint="eastAsia" w:asciiTheme="minorEastAsia" w:hAnsiTheme="minorEastAsia" w:eastAsiaTheme="minorEastAsia" w:cstheme="minorEastAsia"/>
          <w:b/>
          <w:color w:val="auto"/>
          <w:sz w:val="28"/>
          <w:highlight w:val="none"/>
        </w:rPr>
      </w:pPr>
    </w:p>
    <w:p w14:paraId="79B0CD30">
      <w:pPr>
        <w:pStyle w:val="28"/>
        <w:rPr>
          <w:rFonts w:hint="eastAsia" w:asciiTheme="minorEastAsia" w:hAnsiTheme="minorEastAsia" w:eastAsiaTheme="minorEastAsia" w:cstheme="minorEastAsia"/>
          <w:b/>
          <w:color w:val="auto"/>
          <w:sz w:val="28"/>
          <w:highlight w:val="none"/>
        </w:rPr>
      </w:pPr>
    </w:p>
    <w:p w14:paraId="611EBB28">
      <w:pPr>
        <w:pStyle w:val="28"/>
        <w:rPr>
          <w:rStyle w:val="19"/>
          <w:rFonts w:hint="eastAsia" w:asciiTheme="minorEastAsia" w:hAnsiTheme="minorEastAsia" w:eastAsiaTheme="minorEastAsia" w:cstheme="minorEastAsia"/>
          <w:b/>
          <w:color w:val="auto"/>
          <w:highlight w:val="none"/>
          <w:lang w:eastAsia="zh-CN"/>
        </w:rPr>
      </w:pPr>
      <w:r>
        <w:rPr>
          <w:rFonts w:hint="eastAsia" w:asciiTheme="minorEastAsia" w:hAnsiTheme="minorEastAsia" w:eastAsiaTheme="minorEastAsia" w:cstheme="minorEastAsia"/>
          <w:b/>
          <w:color w:val="auto"/>
          <w:sz w:val="28"/>
          <w:highlight w:val="none"/>
        </w:rPr>
        <w:t>附件3-4-2证明材料</w:t>
      </w:r>
      <w:r>
        <w:rPr>
          <w:rStyle w:val="19"/>
          <w:rFonts w:hint="eastAsia" w:asciiTheme="minorEastAsia" w:hAnsiTheme="minorEastAsia" w:eastAsiaTheme="minorEastAsia" w:cstheme="minorEastAsia"/>
          <w:b/>
          <w:color w:val="auto"/>
          <w:highlight w:val="none"/>
        </w:rPr>
        <w:t>    </w:t>
      </w:r>
    </w:p>
    <w:p w14:paraId="28EA0922">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营业执照等证明文件</w:t>
      </w:r>
    </w:p>
    <w:p w14:paraId="30CAF1C6">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54092E02">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spacing w:val="0"/>
          <w:sz w:val="24"/>
          <w:szCs w:val="24"/>
          <w:highlight w:val="none"/>
          <w:u w:val="single"/>
        </w:rPr>
        <w:t>(采购人或采购代理机构) </w:t>
      </w:r>
    </w:p>
    <w:p w14:paraId="0F9970F6">
      <w:pPr>
        <w:pStyle w:val="13"/>
        <w:widowControl/>
        <w:spacing w:before="0" w:beforeAutospacing="0" w:after="0" w:afterAutospacing="0" w:line="500" w:lineRule="exact"/>
        <w:ind w:firstLine="336"/>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)供应商为法人(包括企业、事业单位和社会团体)的</w:t>
      </w:r>
    </w:p>
    <w:p w14:paraId="700A51D7">
      <w:pPr>
        <w:pStyle w:val="13"/>
        <w:widowControl/>
        <w:spacing w:before="0" w:beforeAutospacing="0" w:after="0" w:afterAutospacing="0" w:line="500" w:lineRule="exact"/>
        <w:ind w:firstLine="336"/>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现附上由</w:t>
      </w:r>
      <w:r>
        <w:rPr>
          <w:rFonts w:hint="eastAsia" w:asciiTheme="minorEastAsia" w:hAnsiTheme="minorEastAsia" w:eastAsiaTheme="minorEastAsia" w:cstheme="minorEastAsia"/>
          <w:color w:val="auto"/>
          <w:highlight w:val="none"/>
          <w:u w:val="single"/>
        </w:rPr>
        <w:t>(填写“签发机关全称”)</w:t>
      </w:r>
      <w:r>
        <w:rPr>
          <w:rFonts w:hint="eastAsia" w:asciiTheme="minorEastAsia" w:hAnsiTheme="minorEastAsia" w:eastAsiaTheme="minorEastAsia" w:cstheme="minorEastAsia"/>
          <w:color w:val="auto"/>
          <w:highlight w:val="none"/>
        </w:rPr>
        <w:t>签发的我方统一社会信用代码</w:t>
      </w:r>
      <w:r>
        <w:rPr>
          <w:rFonts w:hint="eastAsia" w:asciiTheme="minorEastAsia" w:hAnsiTheme="minorEastAsia" w:eastAsiaTheme="minorEastAsia" w:cstheme="minorEastAsia"/>
          <w:color w:val="auto"/>
          <w:highlight w:val="none"/>
          <w:u w:val="single"/>
        </w:rPr>
        <w:t>(请填写法人的具体证照名称)</w:t>
      </w:r>
      <w:r>
        <w:rPr>
          <w:rFonts w:hint="eastAsia" w:asciiTheme="minorEastAsia" w:hAnsiTheme="minorEastAsia" w:eastAsiaTheme="minorEastAsia" w:cstheme="minorEastAsia"/>
          <w:color w:val="auto"/>
          <w:highlight w:val="none"/>
        </w:rPr>
        <w:t>复印件，该证明材料真实有效，否则我方负全部责任。</w:t>
      </w:r>
    </w:p>
    <w:p w14:paraId="266E24E4">
      <w:pPr>
        <w:pStyle w:val="13"/>
        <w:widowControl/>
        <w:spacing w:before="0" w:beforeAutospacing="0" w:after="0" w:afterAutospacing="0" w:line="500" w:lineRule="exact"/>
        <w:ind w:firstLine="336"/>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)供应商为非法人(包括其他组织、自然人)的</w:t>
      </w:r>
    </w:p>
    <w:p w14:paraId="32B09B0B">
      <w:pPr>
        <w:pStyle w:val="13"/>
        <w:widowControl/>
        <w:spacing w:before="0" w:beforeAutospacing="0" w:after="0" w:afterAutospacing="0" w:line="500" w:lineRule="exact"/>
        <w:ind w:firstLine="336"/>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□现附上由</w:t>
      </w:r>
      <w:r>
        <w:rPr>
          <w:rFonts w:hint="eastAsia" w:asciiTheme="minorEastAsia" w:hAnsiTheme="minorEastAsia" w:eastAsiaTheme="minorEastAsia" w:cstheme="minorEastAsia"/>
          <w:color w:val="auto"/>
          <w:highlight w:val="none"/>
          <w:u w:val="single"/>
        </w:rPr>
        <w:t>(填写“签发机关全称”)</w:t>
      </w:r>
      <w:r>
        <w:rPr>
          <w:rFonts w:hint="eastAsia" w:asciiTheme="minorEastAsia" w:hAnsiTheme="minorEastAsia" w:eastAsiaTheme="minorEastAsia" w:cstheme="minorEastAsia"/>
          <w:color w:val="auto"/>
          <w:highlight w:val="none"/>
        </w:rPr>
        <w:t>签发的我方</w:t>
      </w:r>
      <w:r>
        <w:rPr>
          <w:rFonts w:hint="eastAsia" w:asciiTheme="minorEastAsia" w:hAnsiTheme="minorEastAsia" w:eastAsiaTheme="minorEastAsia" w:cstheme="minorEastAsia"/>
          <w:color w:val="auto"/>
          <w:highlight w:val="none"/>
          <w:u w:val="single"/>
        </w:rPr>
        <w:t>(请填写非自然人的非法人的具体证照名称)</w:t>
      </w:r>
      <w:r>
        <w:rPr>
          <w:rFonts w:hint="eastAsia" w:asciiTheme="minorEastAsia" w:hAnsiTheme="minorEastAsia" w:eastAsiaTheme="minorEastAsia" w:cstheme="minorEastAsia"/>
          <w:color w:val="auto"/>
          <w:highlight w:val="none"/>
        </w:rPr>
        <w:t>复印件，该证明材料真实有效，否则我方负全部责任。</w:t>
      </w:r>
    </w:p>
    <w:p w14:paraId="63BBF463">
      <w:pPr>
        <w:pStyle w:val="13"/>
        <w:widowControl/>
        <w:spacing w:before="0" w:beforeAutospacing="0" w:after="0" w:afterAutospacing="0" w:line="500" w:lineRule="exact"/>
        <w:ind w:firstLine="336"/>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□现附上由</w:t>
      </w:r>
      <w:r>
        <w:rPr>
          <w:rFonts w:hint="eastAsia" w:asciiTheme="minorEastAsia" w:hAnsiTheme="minorEastAsia" w:eastAsiaTheme="minorEastAsia" w:cstheme="minorEastAsia"/>
          <w:color w:val="auto"/>
          <w:highlight w:val="none"/>
          <w:u w:val="single"/>
        </w:rPr>
        <w:t>(填写“签发机关全称”)</w:t>
      </w:r>
      <w:r>
        <w:rPr>
          <w:rFonts w:hint="eastAsia" w:asciiTheme="minorEastAsia" w:hAnsiTheme="minorEastAsia" w:eastAsiaTheme="minorEastAsia" w:cstheme="minorEastAsia"/>
          <w:color w:val="auto"/>
          <w:highlight w:val="none"/>
        </w:rPr>
        <w:t>签发的我方</w:t>
      </w:r>
      <w:r>
        <w:rPr>
          <w:rFonts w:hint="eastAsia" w:asciiTheme="minorEastAsia" w:hAnsiTheme="minorEastAsia" w:eastAsiaTheme="minorEastAsia" w:cstheme="minorEastAsia"/>
          <w:color w:val="auto"/>
          <w:highlight w:val="none"/>
          <w:u w:val="single"/>
        </w:rPr>
        <w:t>(请填写自然人的身份证件名称)</w:t>
      </w:r>
      <w:r>
        <w:rPr>
          <w:rFonts w:hint="eastAsia" w:asciiTheme="minorEastAsia" w:hAnsiTheme="minorEastAsia" w:eastAsiaTheme="minorEastAsia" w:cstheme="minorEastAsia"/>
          <w:color w:val="auto"/>
          <w:highlight w:val="none"/>
        </w:rPr>
        <w:t>复印件，该证明材料真实有效，否则我方负全部责任。</w:t>
      </w:r>
    </w:p>
    <w:p w14:paraId="48D6C9CE">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★注意：</w:t>
      </w:r>
    </w:p>
    <w:p w14:paraId="6458E0B4">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1、请供应商根据实际情况填写，在相应的()中打“√”并选择相应的“□”(若有)后，再按照本格式的要求提供相应证明材料的复印件。</w:t>
      </w:r>
    </w:p>
    <w:p w14:paraId="725F76E3">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14:paraId="45F617C2">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3、供应商提供的相应证明材料复印件均应符合：内容完整、清晰、整洁，并由供应商加盖其单位公章。</w:t>
      </w:r>
    </w:p>
    <w:p w14:paraId="607DFD7B">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4、对于接受联合体形式的磋商且供应商是联合体的，则联合体各成员都应当提交本资格证明文件。 </w:t>
      </w:r>
    </w:p>
    <w:p w14:paraId="7052781E">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 </w:t>
      </w:r>
    </w:p>
    <w:p w14:paraId="77AC4B97">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73640850">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2D5619E6">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50A42A52">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财务状况报告</w:t>
      </w:r>
    </w:p>
    <w:p w14:paraId="52912B6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致：</w:t>
      </w:r>
      <w:r>
        <w:rPr>
          <w:rFonts w:hint="eastAsia" w:asciiTheme="minorEastAsia" w:hAnsiTheme="minorEastAsia" w:eastAsiaTheme="minorEastAsia" w:cstheme="minorEastAsia"/>
          <w:color w:val="auto"/>
          <w:sz w:val="21"/>
          <w:szCs w:val="21"/>
          <w:highlight w:val="none"/>
          <w:u w:val="single"/>
        </w:rPr>
        <w:t>    </w:t>
      </w:r>
      <w:r>
        <w:rPr>
          <w:rFonts w:hint="eastAsia" w:asciiTheme="minorEastAsia" w:hAnsiTheme="minorEastAsia" w:eastAsiaTheme="minorEastAsia" w:cstheme="minorEastAsia"/>
          <w:color w:val="auto"/>
          <w:spacing w:val="0"/>
          <w:sz w:val="21"/>
          <w:szCs w:val="21"/>
          <w:highlight w:val="none"/>
          <w:u w:val="single"/>
        </w:rPr>
        <w:t>(采购人或采购代理机构)</w:t>
      </w:r>
      <w:r>
        <w:rPr>
          <w:rFonts w:hint="eastAsia" w:asciiTheme="minorEastAsia" w:hAnsiTheme="minorEastAsia" w:eastAsiaTheme="minorEastAsia" w:cstheme="minorEastAsia"/>
          <w:color w:val="auto"/>
          <w:sz w:val="21"/>
          <w:szCs w:val="21"/>
          <w:highlight w:val="none"/>
          <w:u w:val="single"/>
        </w:rPr>
        <w:t>     </w:t>
      </w:r>
    </w:p>
    <w:p w14:paraId="5EF9AFF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84"/>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)供应商提供财务报告的</w:t>
      </w:r>
    </w:p>
    <w:p w14:paraId="74114F1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84"/>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□企业适用：现附上我方</w:t>
      </w:r>
      <w:r>
        <w:rPr>
          <w:rFonts w:hint="eastAsia" w:asciiTheme="minorEastAsia" w:hAnsiTheme="minorEastAsia" w:eastAsiaTheme="minorEastAsia" w:cstheme="minorEastAsia"/>
          <w:color w:val="auto"/>
          <w:sz w:val="21"/>
          <w:szCs w:val="21"/>
          <w:highlight w:val="none"/>
          <w:u w:val="single"/>
        </w:rPr>
        <w:t>(填写“具体的年度、或半年度、或季度”)</w:t>
      </w:r>
      <w:r>
        <w:rPr>
          <w:rFonts w:hint="eastAsia" w:asciiTheme="minorEastAsia" w:hAnsiTheme="minorEastAsia" w:eastAsiaTheme="minorEastAsia" w:cstheme="minorEastAsia"/>
          <w:color w:val="auto"/>
          <w:sz w:val="21"/>
          <w:szCs w:val="21"/>
          <w:highlight w:val="none"/>
        </w:rPr>
        <w:t>财务报告复印件，包括资产负债表、利润表、现金流量表、所有者权益变动表及其附注(若有)，上述证明材料真实有效，否则我方负全部责任。</w:t>
      </w:r>
    </w:p>
    <w:p w14:paraId="2676720A">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84"/>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□事业单位适用：现附上我方</w:t>
      </w:r>
      <w:r>
        <w:rPr>
          <w:rFonts w:hint="eastAsia" w:asciiTheme="minorEastAsia" w:hAnsiTheme="minorEastAsia" w:eastAsiaTheme="minorEastAsia" w:cstheme="minorEastAsia"/>
          <w:color w:val="auto"/>
          <w:sz w:val="21"/>
          <w:szCs w:val="21"/>
          <w:highlight w:val="none"/>
          <w:u w:val="single"/>
        </w:rPr>
        <w:t>(填写“具体的年度、或半年度、或季度”)</w:t>
      </w:r>
      <w:r>
        <w:rPr>
          <w:rFonts w:hint="eastAsia" w:asciiTheme="minorEastAsia" w:hAnsiTheme="minorEastAsia" w:eastAsiaTheme="minorEastAsia" w:cstheme="minorEastAsia"/>
          <w:color w:val="auto"/>
          <w:sz w:val="21"/>
          <w:szCs w:val="21"/>
          <w:highlight w:val="none"/>
        </w:rPr>
        <w:t>财务报告复印件，包括资产负债表、收入支出表或收入费用表、财政补助收入支出表(若有)，上述证明材料真实有效，否则我方负全部责任。</w:t>
      </w:r>
    </w:p>
    <w:p w14:paraId="5A41AB6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84"/>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□社会团体适用：现附上我方</w:t>
      </w:r>
      <w:r>
        <w:rPr>
          <w:rFonts w:hint="eastAsia" w:asciiTheme="minorEastAsia" w:hAnsiTheme="minorEastAsia" w:eastAsiaTheme="minorEastAsia" w:cstheme="minorEastAsia"/>
          <w:color w:val="auto"/>
          <w:sz w:val="21"/>
          <w:szCs w:val="21"/>
          <w:highlight w:val="none"/>
          <w:u w:val="single"/>
        </w:rPr>
        <w:t>(填写“具体的年度、或半年度、或季度”)</w:t>
      </w:r>
      <w:r>
        <w:rPr>
          <w:rFonts w:hint="eastAsia" w:asciiTheme="minorEastAsia" w:hAnsiTheme="minorEastAsia" w:eastAsiaTheme="minorEastAsia" w:cstheme="minorEastAsia"/>
          <w:color w:val="auto"/>
          <w:sz w:val="21"/>
          <w:szCs w:val="21"/>
          <w:highlight w:val="none"/>
        </w:rPr>
        <w:t>财务报告复印件，包括资产负债表、业务活动表、现金流量表，上述证明材料真实有效，否则我方负全部责任。</w:t>
      </w:r>
    </w:p>
    <w:p w14:paraId="06E7DAD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84"/>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)供应商提供资信证明的</w:t>
      </w:r>
    </w:p>
    <w:p w14:paraId="30DD13B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84"/>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□非自然人适用：现附上我方开户(基本户)许可证复印件及我方银行：</w:t>
      </w:r>
      <w:r>
        <w:rPr>
          <w:rFonts w:hint="eastAsia" w:asciiTheme="minorEastAsia" w:hAnsiTheme="minorEastAsia" w:eastAsiaTheme="minorEastAsia" w:cstheme="minorEastAsia"/>
          <w:color w:val="auto"/>
          <w:sz w:val="21"/>
          <w:szCs w:val="21"/>
          <w:highlight w:val="none"/>
          <w:u w:val="single"/>
        </w:rPr>
        <w:t>(填写“基本户的开户银行全称”)</w:t>
      </w:r>
      <w:r>
        <w:rPr>
          <w:rFonts w:hint="eastAsia" w:asciiTheme="minorEastAsia" w:hAnsiTheme="minorEastAsia" w:eastAsiaTheme="minorEastAsia" w:cstheme="minorEastAsia"/>
          <w:color w:val="auto"/>
          <w:sz w:val="21"/>
          <w:szCs w:val="21"/>
          <w:highlight w:val="none"/>
        </w:rPr>
        <w:t>出具的资信证明复印件，上述证明材料真实有效，否则我方负全部责任。</w:t>
      </w:r>
    </w:p>
    <w:p w14:paraId="606D7BCE">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84"/>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□自然人适用：现附上我方银行：</w:t>
      </w:r>
      <w:r>
        <w:rPr>
          <w:rFonts w:hint="eastAsia" w:asciiTheme="minorEastAsia" w:hAnsiTheme="minorEastAsia" w:eastAsiaTheme="minorEastAsia" w:cstheme="minorEastAsia"/>
          <w:color w:val="auto"/>
          <w:sz w:val="21"/>
          <w:szCs w:val="21"/>
          <w:highlight w:val="none"/>
          <w:u w:val="single"/>
        </w:rPr>
        <w:t>(填写自然人的“个人账户的开户银行全称”)</w:t>
      </w:r>
      <w:r>
        <w:rPr>
          <w:rFonts w:hint="eastAsia" w:asciiTheme="minorEastAsia" w:hAnsiTheme="minorEastAsia" w:eastAsiaTheme="minorEastAsia" w:cstheme="minorEastAsia"/>
          <w:color w:val="auto"/>
          <w:sz w:val="21"/>
          <w:szCs w:val="21"/>
          <w:highlight w:val="none"/>
        </w:rPr>
        <w:t>出具的资信证明复印件，上述证明材料真实有效，否则我方负全部责任。</w:t>
      </w:r>
    </w:p>
    <w:p w14:paraId="3FF73A0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84"/>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)供应商提供投标担保函的</w:t>
      </w:r>
    </w:p>
    <w:p w14:paraId="2562168C">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84"/>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现附上由财政部门认可的政府</w:t>
      </w:r>
      <w:r>
        <w:rPr>
          <w:rFonts w:hint="eastAsia" w:asciiTheme="minorEastAsia" w:hAnsiTheme="minorEastAsia" w:eastAsiaTheme="minorEastAsia" w:cstheme="minorEastAsia"/>
          <w:color w:val="auto"/>
          <w:spacing w:val="0"/>
          <w:sz w:val="21"/>
          <w:szCs w:val="21"/>
          <w:highlight w:val="none"/>
        </w:rPr>
        <w:t>采购</w:t>
      </w:r>
      <w:r>
        <w:rPr>
          <w:rFonts w:hint="eastAsia" w:asciiTheme="minorEastAsia" w:hAnsiTheme="minorEastAsia" w:eastAsiaTheme="minorEastAsia" w:cstheme="minorEastAsia"/>
          <w:color w:val="auto"/>
          <w:sz w:val="21"/>
          <w:szCs w:val="21"/>
          <w:highlight w:val="none"/>
        </w:rPr>
        <w:t>专业担保机构：</w:t>
      </w:r>
      <w:r>
        <w:rPr>
          <w:rFonts w:hint="eastAsia" w:asciiTheme="minorEastAsia" w:hAnsiTheme="minorEastAsia" w:eastAsiaTheme="minorEastAsia" w:cstheme="minorEastAsia"/>
          <w:color w:val="auto"/>
          <w:sz w:val="21"/>
          <w:szCs w:val="21"/>
          <w:highlight w:val="none"/>
          <w:u w:val="single"/>
        </w:rPr>
        <w:t>(填写“担保机构全称”)</w:t>
      </w:r>
      <w:r>
        <w:rPr>
          <w:rFonts w:hint="eastAsia" w:asciiTheme="minorEastAsia" w:hAnsiTheme="minorEastAsia" w:eastAsiaTheme="minorEastAsia" w:cstheme="minorEastAsia"/>
          <w:color w:val="auto"/>
          <w:sz w:val="21"/>
          <w:szCs w:val="21"/>
          <w:highlight w:val="none"/>
        </w:rPr>
        <w:t>出具的投标担保函复印件，上述证明材料真实有效，否则我方负全部责任。</w:t>
      </w:r>
    </w:p>
    <w:p w14:paraId="232337BE">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textAlignment w:val="auto"/>
        <w:rPr>
          <w:rFonts w:hint="eastAsia" w:asciiTheme="minorEastAsia" w:hAnsiTheme="minorEastAsia" w:eastAsiaTheme="minorEastAsia" w:cstheme="minorEastAsia"/>
          <w:color w:val="auto"/>
          <w:sz w:val="21"/>
          <w:szCs w:val="21"/>
          <w:highlight w:val="none"/>
        </w:rPr>
      </w:pPr>
      <w:r>
        <w:rPr>
          <w:rStyle w:val="19"/>
          <w:rFonts w:hint="eastAsia" w:asciiTheme="minorEastAsia" w:hAnsiTheme="minorEastAsia" w:eastAsiaTheme="minorEastAsia" w:cstheme="minorEastAsia"/>
          <w:color w:val="auto"/>
          <w:sz w:val="21"/>
          <w:szCs w:val="21"/>
          <w:highlight w:val="none"/>
        </w:rPr>
        <w:t> </w:t>
      </w:r>
      <w:r>
        <w:rPr>
          <w:rFonts w:hint="eastAsia" w:asciiTheme="minorEastAsia" w:hAnsiTheme="minorEastAsia" w:eastAsiaTheme="minorEastAsia" w:cstheme="minorEastAsia"/>
          <w:color w:val="auto"/>
          <w:sz w:val="21"/>
          <w:szCs w:val="21"/>
          <w:highlight w:val="none"/>
        </w:rPr>
        <w:t>★注意事项：</w:t>
      </w:r>
    </w:p>
    <w:p w14:paraId="22B189B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36"/>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上文提供财务报告、资信证明、担保函共三大类型，请供应商按照自身实际情况编制填写，在其中相应的()中打“√”并选择相应的“□”(若有)后，再按照本格式的要求提供相应证明材料的复印件即可。即供应商符合上述三大类型其中一种，并按要求提供相应证明资料即为满足。</w:t>
      </w:r>
    </w:p>
    <w:p w14:paraId="3F2F757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36"/>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2、供应商提供的财务报告复印件(成立年限按照首次响应文件递交截止时间推算)应符合下列规定：</w:t>
      </w:r>
    </w:p>
    <w:p w14:paraId="6EDA6DE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36"/>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2.1成立年限满1年及以上的供应商，提供经审计的上一年度的年度财务报告。</w:t>
      </w:r>
    </w:p>
    <w:p w14:paraId="7434709A">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36"/>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2.2成立年限满半年但不足1年的供应商，提供该半年度中任一季度的季度财务报告或该半年度的半年度财务报告。</w:t>
      </w:r>
    </w:p>
    <w:p w14:paraId="6A55635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36"/>
        <w:textAlignment w:val="auto"/>
        <w:rPr>
          <w:rFonts w:hint="eastAsia" w:asciiTheme="minorEastAsia" w:hAnsiTheme="minorEastAsia" w:eastAsiaTheme="minorEastAsia" w:cstheme="minorEastAsia"/>
          <w:color w:val="auto"/>
          <w:sz w:val="21"/>
          <w:szCs w:val="21"/>
          <w:highlight w:val="none"/>
        </w:rPr>
      </w:pPr>
      <w:r>
        <w:rPr>
          <w:rStyle w:val="19"/>
          <w:rFonts w:hint="eastAsia" w:asciiTheme="minorEastAsia" w:hAnsiTheme="minorEastAsia" w:eastAsiaTheme="minorEastAsia" w:cstheme="minorEastAsia"/>
          <w:color w:val="auto"/>
          <w:sz w:val="21"/>
          <w:szCs w:val="21"/>
          <w:highlight w:val="none"/>
        </w:rPr>
        <w:t>※无法按照本格式注意事项第2.1、2.2条规定提供财务报告复印件的供应商，应按照本格式注意事项的要求选择提供资信证明复印件或投标担保函复印件，其中：非自然人的供应商选择提供资信证明的，还应附上其开户(基本户)许可证复印件。</w:t>
      </w:r>
    </w:p>
    <w:p w14:paraId="1E4CEEB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36"/>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3、“财政部门认可的政府</w:t>
      </w:r>
      <w:r>
        <w:rPr>
          <w:rFonts w:hint="eastAsia" w:asciiTheme="minorEastAsia" w:hAnsiTheme="minorEastAsia" w:eastAsiaTheme="minorEastAsia" w:cstheme="minorEastAsia"/>
          <w:color w:val="auto"/>
          <w:spacing w:val="0"/>
          <w:sz w:val="21"/>
          <w:szCs w:val="21"/>
          <w:highlight w:val="none"/>
        </w:rPr>
        <w:t>采购</w:t>
      </w:r>
      <w:r>
        <w:rPr>
          <w:rFonts w:hint="eastAsia" w:asciiTheme="minorEastAsia" w:hAnsiTheme="minorEastAsia" w:eastAsiaTheme="minorEastAsia" w:cstheme="minorEastAsia"/>
          <w:color w:val="auto"/>
          <w:sz w:val="21"/>
          <w:szCs w:val="21"/>
          <w:highlight w:val="none"/>
        </w:rPr>
        <w:t>专业担保机构”应符合《财政部关于开展政府</w:t>
      </w:r>
      <w:r>
        <w:rPr>
          <w:rFonts w:hint="eastAsia" w:asciiTheme="minorEastAsia" w:hAnsiTheme="minorEastAsia" w:eastAsiaTheme="minorEastAsia" w:cstheme="minorEastAsia"/>
          <w:color w:val="auto"/>
          <w:spacing w:val="0"/>
          <w:sz w:val="21"/>
          <w:szCs w:val="21"/>
          <w:highlight w:val="none"/>
        </w:rPr>
        <w:t>采购</w:t>
      </w:r>
      <w:r>
        <w:rPr>
          <w:rFonts w:hint="eastAsia" w:asciiTheme="minorEastAsia" w:hAnsiTheme="minorEastAsia" w:eastAsiaTheme="minorEastAsia" w:cstheme="minorEastAsia"/>
          <w:color w:val="auto"/>
          <w:sz w:val="21"/>
          <w:szCs w:val="21"/>
          <w:highlight w:val="none"/>
        </w:rPr>
        <w:t>信用担保试点工作方案》(财库[2012]124号)的规定。</w:t>
      </w:r>
    </w:p>
    <w:p w14:paraId="03B50C1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36"/>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4、供应商提供的相应证明材料复印件均应符合：内容完整、清晰、整洁，并由供应商加盖其单位公章。</w:t>
      </w:r>
    </w:p>
    <w:p w14:paraId="631A514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36"/>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5、对于接受联合体形式的磋商且供应商是联合体的，则联合体各成员都应当提交本资格证明文件。</w:t>
      </w:r>
    </w:p>
    <w:p w14:paraId="473E681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jc w:val="both"/>
        <w:textAlignment w:val="auto"/>
        <w:rPr>
          <w:rFonts w:hint="eastAsia" w:asciiTheme="minorEastAsia" w:hAnsiTheme="minorEastAsia" w:eastAsiaTheme="minorEastAsia" w:cstheme="minorEastAsia"/>
          <w:color w:val="auto"/>
          <w:sz w:val="21"/>
          <w:szCs w:val="21"/>
          <w:highlight w:val="none"/>
        </w:rPr>
      </w:pPr>
      <w:r>
        <w:rPr>
          <w:rStyle w:val="19"/>
          <w:rFonts w:hint="eastAsia" w:asciiTheme="minorEastAsia" w:hAnsiTheme="minorEastAsia" w:eastAsiaTheme="minorEastAsia" w:cstheme="minorEastAsia"/>
          <w:color w:val="auto"/>
          <w:highlight w:val="none"/>
        </w:rPr>
        <w:t> </w:t>
      </w:r>
      <w:r>
        <w:rPr>
          <w:rFonts w:hint="eastAsia" w:asciiTheme="minorEastAsia" w:hAnsiTheme="minorEastAsia" w:eastAsiaTheme="minorEastAsia" w:cstheme="minorEastAsia"/>
          <w:color w:val="auto"/>
          <w:sz w:val="21"/>
          <w:szCs w:val="21"/>
          <w:highlight w:val="none"/>
        </w:rPr>
        <w:t>供应商代表：</w:t>
      </w:r>
      <w:r>
        <w:rPr>
          <w:rFonts w:hint="eastAsia" w:asciiTheme="minorEastAsia" w:hAnsiTheme="minorEastAsia" w:eastAsiaTheme="minorEastAsia" w:cstheme="minorEastAsia"/>
          <w:color w:val="auto"/>
          <w:sz w:val="21"/>
          <w:szCs w:val="21"/>
          <w:highlight w:val="none"/>
          <w:u w:val="single"/>
        </w:rPr>
        <w:t>             (签字) </w:t>
      </w:r>
    </w:p>
    <w:p w14:paraId="22209EC4">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供应商名称：</w:t>
      </w:r>
      <w:r>
        <w:rPr>
          <w:rFonts w:hint="eastAsia" w:asciiTheme="minorEastAsia" w:hAnsiTheme="minorEastAsia" w:eastAsiaTheme="minorEastAsia" w:cstheme="minorEastAsia"/>
          <w:color w:val="auto"/>
          <w:sz w:val="21"/>
          <w:szCs w:val="21"/>
          <w:highlight w:val="none"/>
          <w:u w:val="single"/>
        </w:rPr>
        <w:t>         (全称并加盖公章)</w:t>
      </w:r>
    </w:p>
    <w:p w14:paraId="4CDFFFD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日  期： </w:t>
      </w:r>
      <w:r>
        <w:rPr>
          <w:rFonts w:hint="eastAsia" w:asciiTheme="minorEastAsia" w:hAnsiTheme="minorEastAsia" w:eastAsiaTheme="minorEastAsia" w:cstheme="minorEastAsia"/>
          <w:color w:val="auto"/>
          <w:sz w:val="21"/>
          <w:szCs w:val="21"/>
          <w:highlight w:val="none"/>
          <w:u w:val="single"/>
        </w:rPr>
        <w:t>    </w:t>
      </w:r>
      <w:r>
        <w:rPr>
          <w:rFonts w:hint="eastAsia" w:asciiTheme="minorEastAsia" w:hAnsiTheme="minorEastAsia" w:eastAsiaTheme="minorEastAsia" w:cstheme="minorEastAsia"/>
          <w:color w:val="auto"/>
          <w:sz w:val="21"/>
          <w:szCs w:val="21"/>
          <w:highlight w:val="none"/>
        </w:rPr>
        <w:t>年 </w:t>
      </w:r>
      <w:r>
        <w:rPr>
          <w:rFonts w:hint="eastAsia" w:asciiTheme="minorEastAsia" w:hAnsiTheme="minorEastAsia" w:eastAsiaTheme="minorEastAsia" w:cstheme="minorEastAsia"/>
          <w:color w:val="auto"/>
          <w:sz w:val="21"/>
          <w:szCs w:val="21"/>
          <w:highlight w:val="none"/>
          <w:u w:val="single"/>
        </w:rPr>
        <w:t>   </w:t>
      </w:r>
      <w:r>
        <w:rPr>
          <w:rFonts w:hint="eastAsia" w:asciiTheme="minorEastAsia" w:hAnsiTheme="minorEastAsia" w:eastAsiaTheme="minorEastAsia" w:cstheme="minorEastAsia"/>
          <w:color w:val="auto"/>
          <w:sz w:val="21"/>
          <w:szCs w:val="21"/>
          <w:highlight w:val="none"/>
        </w:rPr>
        <w:t>月 </w:t>
      </w:r>
      <w:r>
        <w:rPr>
          <w:rFonts w:hint="eastAsia" w:asciiTheme="minorEastAsia" w:hAnsiTheme="minorEastAsia" w:eastAsiaTheme="minorEastAsia" w:cstheme="minorEastAsia"/>
          <w:color w:val="auto"/>
          <w:sz w:val="21"/>
          <w:szCs w:val="21"/>
          <w:highlight w:val="none"/>
          <w:u w:val="single"/>
        </w:rPr>
        <w:t>   </w:t>
      </w:r>
      <w:r>
        <w:rPr>
          <w:rFonts w:hint="eastAsia" w:asciiTheme="minorEastAsia" w:hAnsiTheme="minorEastAsia" w:eastAsiaTheme="minorEastAsia" w:cstheme="minorEastAsia"/>
          <w:color w:val="auto"/>
          <w:sz w:val="21"/>
          <w:szCs w:val="21"/>
          <w:highlight w:val="none"/>
        </w:rPr>
        <w:t>日</w:t>
      </w:r>
    </w:p>
    <w:p w14:paraId="42B6E54E">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21"/>
          <w:szCs w:val="21"/>
          <w:highlight w:val="none"/>
        </w:rPr>
        <w:t> </w:t>
      </w:r>
      <w:r>
        <w:rPr>
          <w:rFonts w:hint="eastAsia" w:asciiTheme="minorEastAsia" w:hAnsiTheme="minorEastAsia" w:eastAsiaTheme="minorEastAsia" w:cstheme="minorEastAsia"/>
          <w:color w:val="auto"/>
          <w:highlight w:val="none"/>
        </w:rPr>
        <w:t>          </w:t>
      </w:r>
    </w:p>
    <w:p w14:paraId="19EDB50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依法缴纳税收证明材料</w:t>
      </w:r>
    </w:p>
    <w:p w14:paraId="10E9F71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 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u w:val="single"/>
          <w:lang w:eastAsia="zh-CN"/>
        </w:rPr>
        <w:t>采购</w:t>
      </w:r>
      <w:r>
        <w:rPr>
          <w:rFonts w:hint="eastAsia" w:asciiTheme="minorEastAsia" w:hAnsiTheme="minorEastAsia" w:eastAsiaTheme="minorEastAsia" w:cstheme="minorEastAsia"/>
          <w:color w:val="auto"/>
          <w:highlight w:val="none"/>
          <w:u w:val="single"/>
        </w:rPr>
        <w:t>人或</w:t>
      </w:r>
      <w:r>
        <w:rPr>
          <w:rFonts w:hint="eastAsia" w:asciiTheme="minorEastAsia" w:hAnsiTheme="minorEastAsia" w:eastAsiaTheme="minorEastAsia" w:cstheme="minorEastAsia"/>
          <w:color w:val="auto"/>
          <w:highlight w:val="none"/>
          <w:u w:val="single"/>
          <w:lang w:eastAsia="zh-CN"/>
        </w:rPr>
        <w:t>采购</w:t>
      </w:r>
      <w:r>
        <w:rPr>
          <w:rFonts w:hint="eastAsia" w:asciiTheme="minorEastAsia" w:hAnsiTheme="minorEastAsia" w:eastAsiaTheme="minorEastAsia" w:cstheme="minorEastAsia"/>
          <w:color w:val="auto"/>
          <w:highlight w:val="none"/>
          <w:u w:val="single"/>
        </w:rPr>
        <w:t>代理机构)</w:t>
      </w:r>
    </w:p>
    <w:p w14:paraId="1E806E6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1、依法缴纳税收的供应商</w:t>
      </w:r>
    </w:p>
    <w:p w14:paraId="05B052F2">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)法人(包括企业、事业单位和社会团体)的</w:t>
      </w:r>
    </w:p>
    <w:p w14:paraId="29542E0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现附上自</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日至</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日期间我方缴纳的</w:t>
      </w:r>
      <w:r>
        <w:rPr>
          <w:rFonts w:hint="eastAsia" w:asciiTheme="minorEastAsia" w:hAnsiTheme="minorEastAsia" w:eastAsiaTheme="minorEastAsia" w:cstheme="minorEastAsia"/>
          <w:color w:val="auto"/>
          <w:highlight w:val="none"/>
          <w:u w:val="single"/>
        </w:rPr>
        <w:t>(按照供应商实际缴纳的税种名称填写，如：增值税、所得税等)</w:t>
      </w:r>
      <w:r>
        <w:rPr>
          <w:rFonts w:hint="eastAsia" w:asciiTheme="minorEastAsia" w:hAnsiTheme="minorEastAsia" w:eastAsiaTheme="minorEastAsia" w:cstheme="minorEastAsia"/>
          <w:color w:val="auto"/>
          <w:highlight w:val="none"/>
        </w:rPr>
        <w:t>税收凭据复印件，上述证明材料真实有效，否则我方负全部责任。</w:t>
      </w:r>
    </w:p>
    <w:p w14:paraId="55B22596">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)非法人(包括其他组织、自然人)的</w:t>
      </w:r>
    </w:p>
    <w:p w14:paraId="470A667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现附上自</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日至</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日期间我方缴纳的</w:t>
      </w:r>
      <w:r>
        <w:rPr>
          <w:rFonts w:hint="eastAsia" w:asciiTheme="minorEastAsia" w:hAnsiTheme="minorEastAsia" w:eastAsiaTheme="minorEastAsia" w:cstheme="minorEastAsia"/>
          <w:color w:val="auto"/>
          <w:highlight w:val="none"/>
          <w:u w:val="single"/>
        </w:rPr>
        <w:t>(按照供应商实际缴纳的税种名称填写)</w:t>
      </w:r>
      <w:r>
        <w:rPr>
          <w:rFonts w:hint="eastAsia" w:asciiTheme="minorEastAsia" w:hAnsiTheme="minorEastAsia" w:eastAsiaTheme="minorEastAsia" w:cstheme="minorEastAsia"/>
          <w:color w:val="auto"/>
          <w:highlight w:val="none"/>
        </w:rPr>
        <w:t>税收凭据复印件，上述证明材料真实有效，否则我方负全部责任。</w:t>
      </w:r>
    </w:p>
    <w:p w14:paraId="3C0E4D2A">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2、依法免税的供应商</w:t>
      </w:r>
    </w:p>
    <w:p w14:paraId="39C14D7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)现附上我方依法免税证明材料复印件，上述证明材料真实有效，否则我方负全部责任。</w:t>
      </w:r>
    </w:p>
    <w:p w14:paraId="0E8AF33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2F16FB7C">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★注意：</w:t>
      </w:r>
    </w:p>
    <w:p w14:paraId="53C7D1C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1、请供应商根据实际情况填写，在相应的()中打“√”，并按照本格式的要求提供相应证明材料的复印件。</w:t>
      </w:r>
    </w:p>
    <w:p w14:paraId="3DE43FF2">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2、供应商提供的税收凭据复印件应符合下列规定：</w:t>
      </w:r>
    </w:p>
    <w:p w14:paraId="6ED6BD16">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2.1首次响应文件递交截止时间前(不含截止时间的当月)已依法缴纳税收的供应商，提供首次响应文件递交截止时间前六个月(不含截止时间的当月)中任一月份的税收凭据复印件。</w:t>
      </w:r>
    </w:p>
    <w:p w14:paraId="7D9E341C">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2.2首次响应文件递交截止时间的当月成立且已依法缴纳税收的供应商，提供截止时间当月的税收凭据复印件。</w:t>
      </w:r>
    </w:p>
    <w:p w14:paraId="2EF13AA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2.3首次响应文件递交截止时间的当月成立但因税务机关原因而尚未依法缴纳税收的供应商，提供依法缴纳税收承诺书原件(格式自拟)，该承诺书视同税收凭据。</w:t>
      </w:r>
    </w:p>
    <w:p w14:paraId="0292C57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3、供应商提供的相应证明材料复印件均应符合：内容完整、清晰、整洁，并由供应商加盖其单位公章。</w:t>
      </w:r>
    </w:p>
    <w:p w14:paraId="45B56DB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w:t>
      </w:r>
      <w:r>
        <w:rPr>
          <w:rStyle w:val="19"/>
          <w:rFonts w:hint="eastAsia" w:asciiTheme="minorEastAsia" w:hAnsiTheme="minorEastAsia" w:eastAsiaTheme="minorEastAsia" w:cstheme="minorEastAsia"/>
          <w:color w:val="auto"/>
          <w:highlight w:val="none"/>
        </w:rPr>
        <w:t>“依法缴纳税收证明材料”</w:t>
      </w:r>
      <w:r>
        <w:rPr>
          <w:rFonts w:hint="eastAsia" w:asciiTheme="minorEastAsia" w:hAnsiTheme="minorEastAsia" w:eastAsiaTheme="minorEastAsia" w:cstheme="minorEastAsia"/>
          <w:color w:val="auto"/>
          <w:highlight w:val="none"/>
        </w:rPr>
        <w:t>有欠缴记录的，视为</w:t>
      </w:r>
      <w:r>
        <w:rPr>
          <w:rStyle w:val="19"/>
          <w:rFonts w:hint="eastAsia" w:asciiTheme="minorEastAsia" w:hAnsiTheme="minorEastAsia" w:eastAsiaTheme="minorEastAsia" w:cstheme="minorEastAsia"/>
          <w:color w:val="auto"/>
          <w:highlight w:val="none"/>
        </w:rPr>
        <w:t>未依法缴纳税收</w:t>
      </w:r>
      <w:r>
        <w:rPr>
          <w:rFonts w:hint="eastAsia" w:asciiTheme="minorEastAsia" w:hAnsiTheme="minorEastAsia" w:eastAsiaTheme="minorEastAsia" w:cstheme="minorEastAsia"/>
          <w:color w:val="auto"/>
          <w:highlight w:val="none"/>
        </w:rPr>
        <w:t>。</w:t>
      </w:r>
    </w:p>
    <w:p w14:paraId="00DFA9F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5、对于接受联合体形式的磋商且供应商是联合体的，则联合体各成员都应当提交本资格证明文件。</w:t>
      </w:r>
    </w:p>
    <w:p w14:paraId="6748FA0E">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2521EB3C">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 </w:t>
      </w:r>
    </w:p>
    <w:p w14:paraId="4AAA922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75A2F1D6">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 </w:t>
      </w:r>
    </w:p>
    <w:p w14:paraId="371FF3B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62BBDD76">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Style w:val="19"/>
          <w:rFonts w:hint="eastAsia" w:asciiTheme="minorEastAsia" w:hAnsiTheme="minorEastAsia" w:eastAsiaTheme="minorEastAsia" w:cstheme="minorEastAsia"/>
          <w:color w:val="auto"/>
          <w:highlight w:val="none"/>
        </w:rPr>
      </w:pPr>
    </w:p>
    <w:p w14:paraId="1B8AEFE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依法缴纳社会保障资金证明材料</w:t>
      </w:r>
    </w:p>
    <w:p w14:paraId="01FDB49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spacing w:val="0"/>
          <w:sz w:val="24"/>
          <w:szCs w:val="24"/>
          <w:highlight w:val="none"/>
          <w:u w:val="single"/>
        </w:rPr>
        <w:t>(采购人或采购代理机构) </w:t>
      </w:r>
    </w:p>
    <w:p w14:paraId="66488524">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84"/>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1、依法缴纳社会保障资金的供应商</w:t>
      </w:r>
    </w:p>
    <w:p w14:paraId="784D504E">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)法人(包括企业、事业单位和社会团体)的</w:t>
      </w:r>
    </w:p>
    <w:p w14:paraId="01654C02">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现附上自</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日至</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日我方缴纳的社会保险凭据(限：税务机关/社会保障资金管理机关的专用收据或社会保险缴纳清单，或社会保险的银行缴款收讫凭证)复印件，上述证明材料真实有效，否则我方负全部责任。</w:t>
      </w:r>
    </w:p>
    <w:p w14:paraId="72F7916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)非法人(包括其他组织、自然人)的</w:t>
      </w:r>
    </w:p>
    <w:p w14:paraId="1DDEA84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自</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日至</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日我方缴纳的社会保险凭据(限：税务机关/社会保障资金管理机关的专用收据或社会保险缴纳清单，或社会保险的银行缴款收讫凭证)复印件，上述证明材料真实有效，否则我方负全部责任。</w:t>
      </w:r>
    </w:p>
    <w:p w14:paraId="46BFBDD2">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84"/>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2、依法不需要缴纳社会保障资金的供应商</w:t>
      </w:r>
    </w:p>
    <w:p w14:paraId="520622D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)现附上我方依法不需要缴纳社会保障资金证明材料复印件，上述证明材料真实有效，否则我方负全部责任。</w:t>
      </w:r>
    </w:p>
    <w:p w14:paraId="636D336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★注意：</w:t>
      </w:r>
    </w:p>
    <w:p w14:paraId="17DDD8C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1、请供应商根据实际情况填写，在相应的()中打“√”，并按照本格式的要求提供相应证明材料的复印件。</w:t>
      </w:r>
    </w:p>
    <w:p w14:paraId="2877811F">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2、供应商提供的社会保险凭据复印件应符合下列规定：</w:t>
      </w:r>
    </w:p>
    <w:p w14:paraId="4071CAE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2.1首次响应文件递交截止时间前(不含截止时间的当月)已依法缴纳社会保障资金的投供应商，提供首次响应文件递交截止时间前六个月(不含截止时间的当月)中任一月份的社会保险凭据复印件。</w:t>
      </w:r>
    </w:p>
    <w:p w14:paraId="3D1A693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2.2首次响应文件递交截止时间的当月成立且已依法缴纳社会保障资金的供应商，提供首次响应文件递交截止时间当月的社会保险凭据复印件。</w:t>
      </w:r>
    </w:p>
    <w:p w14:paraId="17EFBCF3">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2.3首次响应文件递交截止时间的当月成立但因税务机关/社会保障资金管理机关原因而尚未依法缴纳社会保障资金的供应商，提供依法缴纳社会保障资金承诺书原件(格式自拟)，该承诺书视同社会保险凭据。</w:t>
      </w:r>
    </w:p>
    <w:p w14:paraId="7C0F417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3、供应商提供的相应证明材料复印件均应符合：内容完整、清晰、整洁，并由供应商加盖其单位公章。</w:t>
      </w:r>
    </w:p>
    <w:p w14:paraId="24557F3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w:t>
      </w:r>
      <w:r>
        <w:rPr>
          <w:rStyle w:val="19"/>
          <w:rFonts w:hint="eastAsia" w:asciiTheme="minorEastAsia" w:hAnsiTheme="minorEastAsia" w:eastAsiaTheme="minorEastAsia" w:cstheme="minorEastAsia"/>
          <w:color w:val="auto"/>
          <w:highlight w:val="none"/>
        </w:rPr>
        <w:t>依法缴纳社会保障资金证明材料</w:t>
      </w:r>
      <w:r>
        <w:rPr>
          <w:rFonts w:hint="eastAsia" w:asciiTheme="minorEastAsia" w:hAnsiTheme="minorEastAsia" w:eastAsiaTheme="minorEastAsia" w:cstheme="minorEastAsia"/>
          <w:color w:val="auto"/>
          <w:highlight w:val="none"/>
        </w:rPr>
        <w:t>”有欠缴记录的，视为</w:t>
      </w:r>
      <w:r>
        <w:rPr>
          <w:rStyle w:val="19"/>
          <w:rFonts w:hint="eastAsia" w:asciiTheme="minorEastAsia" w:hAnsiTheme="minorEastAsia" w:eastAsiaTheme="minorEastAsia" w:cstheme="minorEastAsia"/>
          <w:color w:val="auto"/>
          <w:highlight w:val="none"/>
        </w:rPr>
        <w:t>未依法缴纳社会保障资金</w:t>
      </w:r>
      <w:r>
        <w:rPr>
          <w:rFonts w:hint="eastAsia" w:asciiTheme="minorEastAsia" w:hAnsiTheme="minorEastAsia" w:eastAsiaTheme="minorEastAsia" w:cstheme="minorEastAsia"/>
          <w:color w:val="auto"/>
          <w:highlight w:val="none"/>
        </w:rPr>
        <w:t>。</w:t>
      </w:r>
    </w:p>
    <w:p w14:paraId="79C7F9A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5、对于接受联合体形式的磋商且供应商是联合体的，则联合体各成员都应当提交本资格证明文件。</w:t>
      </w:r>
    </w:p>
    <w:p w14:paraId="0CFB90A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供应商代表：</w:t>
      </w:r>
      <w:r>
        <w:rPr>
          <w:rFonts w:hint="eastAsia" w:asciiTheme="minorEastAsia" w:hAnsiTheme="minorEastAsia" w:eastAsiaTheme="minorEastAsia" w:cstheme="minorEastAsia"/>
          <w:color w:val="auto"/>
          <w:highlight w:val="none"/>
          <w:u w:val="single"/>
        </w:rPr>
        <w:t>             (签字) </w:t>
      </w:r>
    </w:p>
    <w:p w14:paraId="099837F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240" w:firstLineChars="100"/>
        <w:jc w:val="both"/>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28A80BF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240" w:firstLineChars="1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266627E9">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附件3-8   </w:t>
      </w:r>
    </w:p>
    <w:p w14:paraId="4F9DDBB0">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具备履行合同所必需设备和专业技术能力证明材料声明函</w:t>
      </w:r>
    </w:p>
    <w:p w14:paraId="62BD8E8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spacing w:val="0"/>
          <w:sz w:val="24"/>
          <w:szCs w:val="24"/>
          <w:highlight w:val="none"/>
          <w:u w:val="single"/>
        </w:rPr>
        <w:t>(采购人或采购代理机构) </w:t>
      </w:r>
    </w:p>
    <w:p w14:paraId="21D5B7A3">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我方具备履行合同所必需的设备和专业技术能力，并对本声明承诺的真实性负责，否则产生不利后果由我方承担责任。</w:t>
      </w:r>
    </w:p>
    <w:p w14:paraId="06277857">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特此声明。</w:t>
      </w:r>
    </w:p>
    <w:p w14:paraId="7627B5AD">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60603669">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★注意：</w:t>
      </w:r>
    </w:p>
    <w:p w14:paraId="39CC713B">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sz w:val="24"/>
          <w:szCs w:val="24"/>
          <w:highlight w:val="none"/>
        </w:rPr>
      </w:pPr>
      <w:r>
        <w:rPr>
          <w:rStyle w:val="19"/>
          <w:rFonts w:hint="eastAsia" w:asciiTheme="minorEastAsia" w:hAnsiTheme="minorEastAsia" w:eastAsiaTheme="minorEastAsia" w:cstheme="minorEastAsia"/>
          <w:color w:val="auto"/>
          <w:sz w:val="24"/>
          <w:szCs w:val="24"/>
          <w:highlight w:val="none"/>
        </w:rPr>
        <w:t>1.磋商文件“供应商的资格”中特定资格条件如果没有特别规定，则由供应商在响应文件中按上述格式提供其具备履行合同所必需的设备和专业技术能力的声明即可，声明函应加盖供应商单位公章。</w:t>
      </w:r>
    </w:p>
    <w:p w14:paraId="36C4588E">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sz w:val="24"/>
          <w:szCs w:val="24"/>
          <w:highlight w:val="none"/>
        </w:rPr>
      </w:pPr>
      <w:r>
        <w:rPr>
          <w:rStyle w:val="19"/>
          <w:rFonts w:hint="eastAsia" w:asciiTheme="minorEastAsia" w:hAnsiTheme="minorEastAsia" w:eastAsiaTheme="minorEastAsia" w:cstheme="minorEastAsia"/>
          <w:color w:val="auto"/>
          <w:sz w:val="24"/>
          <w:szCs w:val="24"/>
          <w:highlight w:val="none"/>
        </w:rPr>
        <w:t>2.如果根据项目的特点和需要，对履行合同所必需的设备和专业技术能力的证明材料有特别专项要求的，则</w:t>
      </w:r>
      <w:r>
        <w:rPr>
          <w:rFonts w:hint="eastAsia" w:asciiTheme="minorEastAsia" w:hAnsiTheme="minorEastAsia" w:eastAsiaTheme="minorEastAsia" w:cstheme="minorEastAsia"/>
          <w:b/>
          <w:bCs/>
          <w:color w:val="auto"/>
          <w:sz w:val="24"/>
          <w:szCs w:val="24"/>
          <w:highlight w:val="none"/>
          <w:lang w:eastAsia="zh-CN"/>
        </w:rPr>
        <w:t>采购</w:t>
      </w:r>
      <w:r>
        <w:rPr>
          <w:rStyle w:val="19"/>
          <w:rFonts w:hint="eastAsia" w:asciiTheme="minorEastAsia" w:hAnsiTheme="minorEastAsia" w:eastAsiaTheme="minorEastAsia" w:cstheme="minorEastAsia"/>
          <w:b/>
          <w:bCs/>
          <w:color w:val="auto"/>
          <w:sz w:val="24"/>
          <w:szCs w:val="24"/>
          <w:highlight w:val="none"/>
        </w:rPr>
        <w:t>人或</w:t>
      </w:r>
      <w:r>
        <w:rPr>
          <w:rFonts w:hint="eastAsia" w:asciiTheme="minorEastAsia" w:hAnsiTheme="minorEastAsia" w:eastAsiaTheme="minorEastAsia" w:cstheme="minorEastAsia"/>
          <w:b/>
          <w:bCs/>
          <w:color w:val="auto"/>
          <w:sz w:val="24"/>
          <w:szCs w:val="24"/>
          <w:highlight w:val="none"/>
          <w:lang w:eastAsia="zh-CN"/>
        </w:rPr>
        <w:t>采购</w:t>
      </w:r>
      <w:r>
        <w:rPr>
          <w:rStyle w:val="19"/>
          <w:rFonts w:hint="eastAsia" w:asciiTheme="minorEastAsia" w:hAnsiTheme="minorEastAsia" w:eastAsiaTheme="minorEastAsia" w:cstheme="minorEastAsia"/>
          <w:color w:val="auto"/>
          <w:sz w:val="24"/>
          <w:szCs w:val="24"/>
          <w:highlight w:val="none"/>
        </w:rPr>
        <w:t>代理机构应当在磋商文件“供应商的资格”中特定资格条件进行明确约定，供应商可以不用提供上述格式要求的声明函，但必须按特定资格条件的规定提供相应专项证明材料，并对相应证明材料的真实性负责。</w:t>
      </w:r>
    </w:p>
    <w:p w14:paraId="4EC0BBE5">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sz w:val="24"/>
          <w:szCs w:val="24"/>
          <w:highlight w:val="none"/>
        </w:rPr>
      </w:pPr>
      <w:r>
        <w:rPr>
          <w:rStyle w:val="19"/>
          <w:rFonts w:hint="eastAsia" w:asciiTheme="minorEastAsia" w:hAnsiTheme="minorEastAsia" w:eastAsiaTheme="minorEastAsia" w:cstheme="minorEastAsia"/>
          <w:color w:val="auto"/>
          <w:sz w:val="24"/>
          <w:szCs w:val="24"/>
          <w:highlight w:val="none"/>
        </w:rPr>
        <w:t>  3.对于接受联合体形式的磋商且供应商是联合体的，则联合体各成员都应当提交本资格证明文件。</w:t>
      </w:r>
    </w:p>
    <w:p w14:paraId="74D91515">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3817C426">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3F4E2F8E">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 </w:t>
      </w:r>
    </w:p>
    <w:p w14:paraId="6565E3AE">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66807BB0">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03B1065D">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349596B4">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6CF6D530">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6DBE3265">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076795A4">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p>
    <w:p w14:paraId="4A37AF07">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lang w:eastAsia="zh-CN"/>
        </w:rPr>
      </w:pPr>
    </w:p>
    <w:p w14:paraId="316D883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p>
    <w:p w14:paraId="059B6F7E">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5808C4AD">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参加采购活动前三年内在经营活动中没有重大违法记录书面声明</w:t>
      </w:r>
    </w:p>
    <w:p w14:paraId="127C5D9D">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2D64BE7A">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spacing w:val="0"/>
          <w:sz w:val="24"/>
          <w:szCs w:val="24"/>
          <w:highlight w:val="none"/>
          <w:u w:val="single"/>
        </w:rPr>
        <w:t>(采购人或采购代理机构) </w:t>
      </w:r>
    </w:p>
    <w:p w14:paraId="3C294F93">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参加</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活动前三年内，我方在经营活动中没有重大违法记录，也无行贿犯罪记录。</w:t>
      </w:r>
    </w:p>
    <w:p w14:paraId="31B51AC5">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特此声明。</w:t>
      </w:r>
    </w:p>
    <w:p w14:paraId="6480FF0B">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4B9B1E03">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★注意：</w:t>
      </w:r>
    </w:p>
    <w:p w14:paraId="5D8FD645">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1、“重大违法记录”指供应商因违法经营受到刑事处罚或责令停产停业、吊销许可证或执照、较大数额罚款等行政处罚。</w:t>
      </w:r>
    </w:p>
    <w:p w14:paraId="5F6BEABE">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2、请供应商根据实际情况进行声明，若声明不真实，视为提供虚假材料。</w:t>
      </w:r>
    </w:p>
    <w:p w14:paraId="087A3BAD">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3、对于接受联合体形式的磋商且供应商是联合体的，则联合体各成员都应当提交本资格证明文件。</w:t>
      </w:r>
    </w:p>
    <w:p w14:paraId="05ADB485">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4AF9EF8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10500E8B">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 </w:t>
      </w:r>
    </w:p>
    <w:p w14:paraId="35EE0C5A">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14651E3E">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7CB04503">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5A7A78EB">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7F47C00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02804B3F">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7A72A501">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lang w:eastAsia="zh-CN"/>
        </w:rPr>
      </w:pPr>
    </w:p>
    <w:p w14:paraId="57FFBB3A">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lang w:eastAsia="zh-CN"/>
        </w:rPr>
      </w:pPr>
    </w:p>
    <w:p w14:paraId="0029333D">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r>
        <w:rPr>
          <w:rFonts w:hint="eastAsia" w:asciiTheme="minorEastAsia" w:hAnsiTheme="minorEastAsia" w:eastAsiaTheme="minorEastAsia" w:cstheme="minorEastAsia"/>
          <w:color w:val="auto"/>
          <w:highlight w:val="none"/>
        </w:rPr>
        <w:t>附件3-</w:t>
      </w:r>
      <w:r>
        <w:rPr>
          <w:rFonts w:hint="eastAsia" w:asciiTheme="minorEastAsia" w:hAnsiTheme="minorEastAsia" w:eastAsiaTheme="minorEastAsia" w:cstheme="minorEastAsia"/>
          <w:color w:val="auto"/>
          <w:highlight w:val="none"/>
          <w:lang w:val="en-US" w:eastAsia="zh-CN"/>
        </w:rPr>
        <w:t>5</w:t>
      </w:r>
      <w:r>
        <w:rPr>
          <w:rFonts w:hint="eastAsia" w:asciiTheme="minorEastAsia" w:hAnsiTheme="minorEastAsia" w:eastAsiaTheme="minorEastAsia" w:cstheme="minorEastAsia"/>
          <w:color w:val="auto"/>
          <w:highlight w:val="none"/>
        </w:rPr>
        <w:t>      </w:t>
      </w:r>
    </w:p>
    <w:p w14:paraId="793F3CBE">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信用记录查询结果</w:t>
      </w:r>
    </w:p>
    <w:p w14:paraId="5BB6BDB0">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17C7AAAD">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spacing w:val="0"/>
          <w:sz w:val="24"/>
          <w:szCs w:val="24"/>
          <w:highlight w:val="none"/>
          <w:u w:val="single"/>
        </w:rPr>
        <w:t>(采购人或采购代理机构) </w:t>
      </w:r>
    </w:p>
    <w:p w14:paraId="5B6FB53B">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现附上截至</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时我方通过“信用中国”网站(www.creditchina.gov.cn)获取的我方信用信息查询结果</w:t>
      </w:r>
      <w:r>
        <w:rPr>
          <w:rFonts w:hint="eastAsia" w:asciiTheme="minorEastAsia" w:hAnsiTheme="minorEastAsia" w:eastAsiaTheme="minorEastAsia" w:cstheme="minorEastAsia"/>
          <w:color w:val="auto"/>
          <w:highlight w:val="none"/>
          <w:u w:val="single"/>
        </w:rPr>
        <w:t>(填写具体份数)</w:t>
      </w:r>
      <w:r>
        <w:rPr>
          <w:rFonts w:hint="eastAsia" w:asciiTheme="minorEastAsia" w:hAnsiTheme="minorEastAsia" w:eastAsiaTheme="minorEastAsia" w:cstheme="minorEastAsia"/>
          <w:color w:val="auto"/>
          <w:highlight w:val="none"/>
        </w:rPr>
        <w:t>份、通过中国政府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网(www.ccgp.gov.cn)获取的我方信用信息查询结果</w:t>
      </w:r>
      <w:r>
        <w:rPr>
          <w:rFonts w:hint="eastAsia" w:asciiTheme="minorEastAsia" w:hAnsiTheme="minorEastAsia" w:eastAsiaTheme="minorEastAsia" w:cstheme="minorEastAsia"/>
          <w:color w:val="auto"/>
          <w:highlight w:val="none"/>
          <w:u w:val="single"/>
        </w:rPr>
        <w:t>(填写具体份数)</w:t>
      </w:r>
      <w:r>
        <w:rPr>
          <w:rFonts w:hint="eastAsia" w:asciiTheme="minorEastAsia" w:hAnsiTheme="minorEastAsia" w:eastAsiaTheme="minorEastAsia" w:cstheme="minorEastAsia"/>
          <w:color w:val="auto"/>
          <w:highlight w:val="none"/>
        </w:rPr>
        <w:t>份，上述信用信息查询结果真实有效，否则我方负全部责任。</w:t>
      </w:r>
    </w:p>
    <w:p w14:paraId="3E41DFC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59A482BB">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★注意：</w:t>
      </w:r>
    </w:p>
    <w:p w14:paraId="45C8E621">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1、供应商应</w:t>
      </w:r>
      <w:r>
        <w:rPr>
          <w:rStyle w:val="19"/>
          <w:rFonts w:hint="eastAsia" w:asciiTheme="minorEastAsia" w:hAnsiTheme="minorEastAsia" w:eastAsiaTheme="minorEastAsia" w:cstheme="minorEastAsia"/>
          <w:color w:val="auto"/>
          <w:highlight w:val="none"/>
        </w:rPr>
        <w:t>同时提供</w:t>
      </w:r>
      <w:r>
        <w:rPr>
          <w:rFonts w:hint="eastAsia" w:asciiTheme="minorEastAsia" w:hAnsiTheme="minorEastAsia" w:eastAsiaTheme="minorEastAsia" w:cstheme="minorEastAsia"/>
          <w:color w:val="auto"/>
          <w:highlight w:val="none"/>
        </w:rPr>
        <w:t>在磋商文件要求的首次响应文件递交截止时点前通过上述2个网站获取的信用信息查询结果，信用信息查询结果应为从上述网站获取的查询结果原始页面的打印件或完整截图，</w:t>
      </w:r>
      <w:r>
        <w:rPr>
          <w:rStyle w:val="19"/>
          <w:rFonts w:hint="eastAsia" w:asciiTheme="minorEastAsia" w:hAnsiTheme="minorEastAsia" w:eastAsiaTheme="minorEastAsia" w:cstheme="minorEastAsia"/>
          <w:color w:val="auto"/>
          <w:highlight w:val="none"/>
        </w:rPr>
        <w:t>否则其响应文件将被否决。</w:t>
      </w:r>
    </w:p>
    <w:p w14:paraId="085FF08D">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2、若本项目接受联合体响应磋商且供应商为联合体，则联合体各成员均应</w:t>
      </w:r>
      <w:r>
        <w:rPr>
          <w:rStyle w:val="19"/>
          <w:rFonts w:hint="eastAsia" w:asciiTheme="minorEastAsia" w:hAnsiTheme="minorEastAsia" w:eastAsiaTheme="minorEastAsia" w:cstheme="minorEastAsia"/>
          <w:color w:val="auto"/>
          <w:highlight w:val="none"/>
        </w:rPr>
        <w:t>同时提供</w:t>
      </w:r>
      <w:r>
        <w:rPr>
          <w:rFonts w:hint="eastAsia" w:asciiTheme="minorEastAsia" w:hAnsiTheme="minorEastAsia" w:eastAsiaTheme="minorEastAsia" w:cstheme="minorEastAsia"/>
          <w:color w:val="auto"/>
          <w:highlight w:val="none"/>
        </w:rPr>
        <w:t>在磋商文件要求的首次响应文件截止时点前通过上述2个网站获取的联合体各方的信用信息查询结果，信用信息查询结果应为从上述网站获取的查询结果原始页面的完整截图或打印件，否则其响应文件将被否决。</w:t>
      </w:r>
    </w:p>
    <w:p w14:paraId="235C71AB">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3、联合体成员存在不良信用记录的，视同联合体存在不良信用记录，</w:t>
      </w:r>
      <w:r>
        <w:rPr>
          <w:rStyle w:val="19"/>
          <w:rFonts w:hint="eastAsia" w:asciiTheme="minorEastAsia" w:hAnsiTheme="minorEastAsia" w:eastAsiaTheme="minorEastAsia" w:cstheme="minorEastAsia"/>
          <w:color w:val="auto"/>
          <w:highlight w:val="none"/>
        </w:rPr>
        <w:t>其响应文件将被否决。</w:t>
      </w:r>
    </w:p>
    <w:p w14:paraId="042FDC30">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※除上述规定外，信用记录的其他有关规定(包括但不限于：信用信息的查询渠道及截止时点、查询记录和证据留存的具体方式、使用规则等内容)详见磋商文件第一章。 </w:t>
      </w:r>
    </w:p>
    <w:p w14:paraId="4F278697">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0F5631A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557A948C">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w:t>
      </w:r>
    </w:p>
    <w:p w14:paraId="366DE0AC">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3340AA9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3D73CA85">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49004AEB">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6C1FC1C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附件3-</w:t>
      </w:r>
      <w:r>
        <w:rPr>
          <w:rFonts w:hint="eastAsia" w:asciiTheme="minorEastAsia" w:hAnsiTheme="minorEastAsia" w:eastAsiaTheme="minorEastAsia" w:cstheme="minorEastAsia"/>
          <w:color w:val="auto"/>
          <w:highlight w:val="none"/>
          <w:lang w:val="en-US" w:eastAsia="zh-CN"/>
        </w:rPr>
        <w:t>6</w:t>
      </w:r>
      <w:r>
        <w:rPr>
          <w:rFonts w:hint="eastAsia" w:asciiTheme="minorEastAsia" w:hAnsiTheme="minorEastAsia" w:eastAsiaTheme="minorEastAsia" w:cstheme="minorEastAsia"/>
          <w:color w:val="auto"/>
          <w:highlight w:val="none"/>
        </w:rPr>
        <w:t>          </w:t>
      </w:r>
    </w:p>
    <w:p w14:paraId="0860AAF9">
      <w:pPr>
        <w:pStyle w:val="13"/>
        <w:widowControl/>
        <w:spacing w:before="0" w:beforeAutospacing="0" w:after="0" w:afterAutospacing="0" w:line="500" w:lineRule="exact"/>
        <w:jc w:val="center"/>
        <w:rPr>
          <w:rStyle w:val="19"/>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其它资格证明文件</w:t>
      </w:r>
    </w:p>
    <w:p w14:paraId="327B2A3A">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(如果有的话)</w:t>
      </w:r>
    </w:p>
    <w:p w14:paraId="417FE470">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22F62152">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说明：1、</w:t>
      </w:r>
      <w:r>
        <w:rPr>
          <w:rFonts w:hint="eastAsia" w:asciiTheme="minorEastAsia" w:hAnsiTheme="minorEastAsia" w:eastAsiaTheme="minorEastAsia" w:cstheme="minorEastAsia"/>
          <w:color w:val="auto"/>
          <w:spacing w:val="0"/>
          <w:sz w:val="24"/>
          <w:szCs w:val="24"/>
          <w:highlight w:val="none"/>
        </w:rPr>
        <w:t>采购人或采购代理机构</w:t>
      </w:r>
      <w:r>
        <w:rPr>
          <w:rFonts w:hint="eastAsia" w:asciiTheme="minorEastAsia" w:hAnsiTheme="minorEastAsia" w:eastAsiaTheme="minorEastAsia" w:cstheme="minorEastAsia"/>
          <w:color w:val="auto"/>
          <w:highlight w:val="none"/>
        </w:rPr>
        <w:t>可以根据项目的特点和需要，在磋商文件“供应商的资格”中特定资格条件，对其它资格证明文件进行具体规定，供应商应按照磋商文件要求，在此项下提供相关证明材料，并加盖供应商单位公章。</w:t>
      </w:r>
    </w:p>
    <w:p w14:paraId="23F8BF3D">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2、若磋商文件规定接受联合体形式且供应商为联合体的，涉及联合体成员的其它资格证明文件在此处提供相关证明材料，并加盖供应商单位公章。</w:t>
      </w:r>
    </w:p>
    <w:p w14:paraId="3581D4CD">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77A5D8E0">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5289E8E2">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4EAD688D">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21DE05FD">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067502EC">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 </w:t>
      </w:r>
    </w:p>
    <w:p w14:paraId="36309FB5">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7597A19E">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2D5BE6D6">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w:t>
      </w:r>
    </w:p>
    <w:p w14:paraId="5A8C8DF5">
      <w:pPr>
        <w:pStyle w:val="13"/>
        <w:widowControl/>
        <w:spacing w:before="0" w:beforeAutospacing="0" w:after="0" w:afterAutospacing="0" w:line="5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w:t>
      </w:r>
    </w:p>
    <w:p w14:paraId="4A3AFC35">
      <w:pPr>
        <w:pStyle w:val="13"/>
        <w:widowControl/>
        <w:spacing w:before="0" w:beforeAutospacing="0" w:after="0" w:afterAutospacing="0" w:line="5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w:t>
      </w:r>
    </w:p>
    <w:p w14:paraId="3007E54E">
      <w:pPr>
        <w:pStyle w:val="13"/>
        <w:widowControl/>
        <w:spacing w:before="0" w:beforeAutospacing="0" w:after="0" w:afterAutospacing="0" w:line="5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w:t>
      </w:r>
    </w:p>
    <w:p w14:paraId="24D65051">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 </w:t>
      </w:r>
    </w:p>
    <w:p w14:paraId="76B8343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082ED10E">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lang w:eastAsia="zh-CN"/>
        </w:rPr>
      </w:pPr>
    </w:p>
    <w:p w14:paraId="41CC5EC5">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lang w:eastAsia="zh-CN"/>
        </w:rPr>
      </w:pPr>
    </w:p>
    <w:p w14:paraId="135DCDC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lang w:eastAsia="zh-CN"/>
        </w:rPr>
      </w:pPr>
    </w:p>
    <w:p w14:paraId="1DFC8890">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lang w:eastAsia="zh-CN"/>
        </w:rPr>
      </w:pPr>
    </w:p>
    <w:p w14:paraId="355FDCD7">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lang w:eastAsia="zh-CN"/>
        </w:rPr>
      </w:pPr>
    </w:p>
    <w:p w14:paraId="2E4638FB">
      <w:pPr>
        <w:pStyle w:val="13"/>
        <w:widowControl/>
        <w:spacing w:before="0" w:beforeAutospacing="0" w:after="0" w:afterAutospacing="0" w:line="500" w:lineRule="exact"/>
        <w:rPr>
          <w:rStyle w:val="19"/>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r>
        <w:rPr>
          <w:rFonts w:hint="eastAsia" w:asciiTheme="minorEastAsia" w:hAnsiTheme="minorEastAsia" w:eastAsiaTheme="minorEastAsia" w:cstheme="minorEastAsia"/>
          <w:color w:val="auto"/>
          <w:highlight w:val="none"/>
        </w:rPr>
        <w:t>附件4-1  </w:t>
      </w:r>
      <w:r>
        <w:rPr>
          <w:rStyle w:val="19"/>
          <w:rFonts w:hint="eastAsia" w:asciiTheme="minorEastAsia" w:hAnsiTheme="minorEastAsia" w:eastAsiaTheme="minorEastAsia" w:cstheme="minorEastAsia"/>
          <w:color w:val="auto"/>
          <w:highlight w:val="none"/>
        </w:rPr>
        <w:t>    </w:t>
      </w:r>
    </w:p>
    <w:p w14:paraId="688B04A0">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技术和服务要求响应表</w:t>
      </w:r>
    </w:p>
    <w:p w14:paraId="698F0D07">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(全称加盖单位公章)</w:t>
      </w:r>
      <w:r>
        <w:rPr>
          <w:rFonts w:hint="eastAsia" w:asciiTheme="minorEastAsia" w:hAnsiTheme="minorEastAsia" w:eastAsiaTheme="minorEastAsia" w:cstheme="minorEastAsia"/>
          <w:color w:val="auto"/>
          <w:highlight w:val="none"/>
        </w:rPr>
        <w:t>  项目编号∶</w:t>
      </w:r>
      <w:r>
        <w:rPr>
          <w:rFonts w:hint="eastAsia" w:asciiTheme="minorEastAsia" w:hAnsiTheme="minorEastAsia" w:eastAsiaTheme="minorEastAsia" w:cstheme="minorEastAsia"/>
          <w:color w:val="auto"/>
          <w:highlight w:val="none"/>
          <w:u w:val="single"/>
        </w:rPr>
        <w:t>       </w:t>
      </w:r>
    </w:p>
    <w:tbl>
      <w:tblPr>
        <w:tblStyle w:val="16"/>
        <w:tblW w:w="9971"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473"/>
        <w:gridCol w:w="1436"/>
        <w:gridCol w:w="3505"/>
        <w:gridCol w:w="3505"/>
        <w:gridCol w:w="1052"/>
      </w:tblGrid>
      <w:tr w14:paraId="64C34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56" w:hRule="atLeast"/>
          <w:tblCellSpacing w:w="15" w:type="dxa"/>
        </w:trPr>
        <w:tc>
          <w:tcPr>
            <w:tcW w:w="428" w:type="dxa"/>
            <w:noWrap w:val="0"/>
            <w:tcMar>
              <w:top w:w="0" w:type="dxa"/>
              <w:left w:w="84" w:type="dxa"/>
              <w:bottom w:w="0" w:type="dxa"/>
              <w:right w:w="84" w:type="dxa"/>
            </w:tcMar>
            <w:vAlign w:val="center"/>
          </w:tcPr>
          <w:p w14:paraId="476C9700">
            <w:pPr>
              <w:pStyle w:val="13"/>
              <w:widowControl/>
              <w:spacing w:before="0" w:beforeAutospacing="0" w:after="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合同包</w:t>
            </w:r>
          </w:p>
        </w:tc>
        <w:tc>
          <w:tcPr>
            <w:tcW w:w="1406" w:type="dxa"/>
            <w:noWrap w:val="0"/>
            <w:tcMar>
              <w:top w:w="0" w:type="dxa"/>
              <w:left w:w="84" w:type="dxa"/>
              <w:bottom w:w="0" w:type="dxa"/>
              <w:right w:w="84" w:type="dxa"/>
            </w:tcMar>
            <w:vAlign w:val="center"/>
          </w:tcPr>
          <w:p w14:paraId="28BE9B3B">
            <w:pPr>
              <w:pStyle w:val="13"/>
              <w:widowControl/>
              <w:spacing w:before="0" w:beforeAutospacing="0" w:after="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章节条目号</w:t>
            </w:r>
          </w:p>
        </w:tc>
        <w:tc>
          <w:tcPr>
            <w:tcW w:w="3475" w:type="dxa"/>
            <w:noWrap w:val="0"/>
            <w:tcMar>
              <w:top w:w="0" w:type="dxa"/>
              <w:left w:w="84" w:type="dxa"/>
              <w:bottom w:w="0" w:type="dxa"/>
              <w:right w:w="84" w:type="dxa"/>
            </w:tcMar>
            <w:vAlign w:val="center"/>
          </w:tcPr>
          <w:p w14:paraId="13C33129">
            <w:pPr>
              <w:pStyle w:val="13"/>
              <w:widowControl/>
              <w:spacing w:before="0" w:beforeAutospacing="0" w:after="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竞争性磋商文件规定的技术和服务要求</w:t>
            </w:r>
          </w:p>
        </w:tc>
        <w:tc>
          <w:tcPr>
            <w:tcW w:w="3475" w:type="dxa"/>
            <w:noWrap w:val="0"/>
            <w:tcMar>
              <w:top w:w="0" w:type="dxa"/>
              <w:left w:w="84" w:type="dxa"/>
              <w:bottom w:w="0" w:type="dxa"/>
              <w:right w:w="84" w:type="dxa"/>
            </w:tcMar>
            <w:vAlign w:val="center"/>
          </w:tcPr>
          <w:p w14:paraId="27C4EFD8">
            <w:pPr>
              <w:pStyle w:val="13"/>
              <w:widowControl/>
              <w:spacing w:before="0" w:beforeAutospacing="0" w:after="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响应文件响应承诺</w:t>
            </w:r>
          </w:p>
        </w:tc>
        <w:tc>
          <w:tcPr>
            <w:tcW w:w="1007" w:type="dxa"/>
            <w:noWrap w:val="0"/>
            <w:tcMar>
              <w:top w:w="0" w:type="dxa"/>
              <w:left w:w="84" w:type="dxa"/>
              <w:bottom w:w="0" w:type="dxa"/>
              <w:right w:w="84" w:type="dxa"/>
            </w:tcMar>
            <w:vAlign w:val="center"/>
          </w:tcPr>
          <w:p w14:paraId="1CEA199C">
            <w:pPr>
              <w:pStyle w:val="13"/>
              <w:widowControl/>
              <w:spacing w:before="0" w:beforeAutospacing="0" w:after="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是否偏离及说明</w:t>
            </w:r>
          </w:p>
        </w:tc>
      </w:tr>
      <w:tr w14:paraId="2AC8B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62E52128">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5F99C614">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2A3583B7">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0F3D19C0">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1B626011">
            <w:pPr>
              <w:widowControl/>
              <w:jc w:val="left"/>
              <w:rPr>
                <w:rFonts w:hint="eastAsia" w:asciiTheme="minorEastAsia" w:hAnsiTheme="minorEastAsia" w:eastAsiaTheme="minorEastAsia" w:cstheme="minorEastAsia"/>
                <w:color w:val="auto"/>
                <w:sz w:val="24"/>
                <w:highlight w:val="none"/>
              </w:rPr>
            </w:pPr>
          </w:p>
        </w:tc>
      </w:tr>
      <w:tr w14:paraId="49D9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7D965168">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647C97B1">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7D36C6EA">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1BA8DC79">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7E762535">
            <w:pPr>
              <w:widowControl/>
              <w:jc w:val="left"/>
              <w:rPr>
                <w:rFonts w:hint="eastAsia" w:asciiTheme="minorEastAsia" w:hAnsiTheme="minorEastAsia" w:eastAsiaTheme="minorEastAsia" w:cstheme="minorEastAsia"/>
                <w:color w:val="auto"/>
                <w:sz w:val="24"/>
                <w:highlight w:val="none"/>
              </w:rPr>
            </w:pPr>
          </w:p>
        </w:tc>
      </w:tr>
      <w:tr w14:paraId="02924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69CA3B47">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4CC4FFE3">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2FAD3315">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36D937E1">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3A33443B">
            <w:pPr>
              <w:widowControl/>
              <w:jc w:val="left"/>
              <w:rPr>
                <w:rFonts w:hint="eastAsia" w:asciiTheme="minorEastAsia" w:hAnsiTheme="minorEastAsia" w:eastAsiaTheme="minorEastAsia" w:cstheme="minorEastAsia"/>
                <w:color w:val="auto"/>
                <w:sz w:val="24"/>
                <w:highlight w:val="none"/>
              </w:rPr>
            </w:pPr>
          </w:p>
        </w:tc>
      </w:tr>
      <w:tr w14:paraId="643EB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6804650A">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6DDBDAFF">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1A4D5CEF">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3E0AA02C">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3E689FDC">
            <w:pPr>
              <w:widowControl/>
              <w:jc w:val="left"/>
              <w:rPr>
                <w:rFonts w:hint="eastAsia" w:asciiTheme="minorEastAsia" w:hAnsiTheme="minorEastAsia" w:eastAsiaTheme="minorEastAsia" w:cstheme="minorEastAsia"/>
                <w:color w:val="auto"/>
                <w:sz w:val="24"/>
                <w:highlight w:val="none"/>
              </w:rPr>
            </w:pPr>
          </w:p>
        </w:tc>
      </w:tr>
      <w:tr w14:paraId="4E867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5EC857F7">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4A90EA5A">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3F046D85">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3C809AAF">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358EB6E3">
            <w:pPr>
              <w:widowControl/>
              <w:jc w:val="left"/>
              <w:rPr>
                <w:rFonts w:hint="eastAsia" w:asciiTheme="minorEastAsia" w:hAnsiTheme="minorEastAsia" w:eastAsiaTheme="minorEastAsia" w:cstheme="minorEastAsia"/>
                <w:color w:val="auto"/>
                <w:sz w:val="24"/>
                <w:highlight w:val="none"/>
              </w:rPr>
            </w:pPr>
          </w:p>
        </w:tc>
      </w:tr>
      <w:tr w14:paraId="39E8A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1E2D2612">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256724D4">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5584EC78">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0C5E4B21">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1D248E12">
            <w:pPr>
              <w:widowControl/>
              <w:jc w:val="left"/>
              <w:rPr>
                <w:rFonts w:hint="eastAsia" w:asciiTheme="minorEastAsia" w:hAnsiTheme="minorEastAsia" w:eastAsiaTheme="minorEastAsia" w:cstheme="minorEastAsia"/>
                <w:color w:val="auto"/>
                <w:sz w:val="24"/>
                <w:highlight w:val="none"/>
              </w:rPr>
            </w:pPr>
          </w:p>
        </w:tc>
      </w:tr>
      <w:tr w14:paraId="3354F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027FB0F4">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10027D23">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5F348E44">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57DF596C">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176EE871">
            <w:pPr>
              <w:widowControl/>
              <w:jc w:val="left"/>
              <w:rPr>
                <w:rFonts w:hint="eastAsia" w:asciiTheme="minorEastAsia" w:hAnsiTheme="minorEastAsia" w:eastAsiaTheme="minorEastAsia" w:cstheme="minorEastAsia"/>
                <w:color w:val="auto"/>
                <w:sz w:val="24"/>
                <w:highlight w:val="none"/>
              </w:rPr>
            </w:pPr>
          </w:p>
        </w:tc>
      </w:tr>
      <w:tr w14:paraId="1081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5142F4CB">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2F91DFC1">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6DE14842">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3D6DDF47">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6DA82B9A">
            <w:pPr>
              <w:widowControl/>
              <w:jc w:val="left"/>
              <w:rPr>
                <w:rFonts w:hint="eastAsia" w:asciiTheme="minorEastAsia" w:hAnsiTheme="minorEastAsia" w:eastAsiaTheme="minorEastAsia" w:cstheme="minorEastAsia"/>
                <w:color w:val="auto"/>
                <w:sz w:val="24"/>
                <w:highlight w:val="none"/>
              </w:rPr>
            </w:pPr>
          </w:p>
        </w:tc>
      </w:tr>
      <w:tr w14:paraId="7DB85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0E2DEE5A">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06583EBC">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62E13241">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1B885D61">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1C47C54C">
            <w:pPr>
              <w:widowControl/>
              <w:jc w:val="left"/>
              <w:rPr>
                <w:rFonts w:hint="eastAsia" w:asciiTheme="minorEastAsia" w:hAnsiTheme="minorEastAsia" w:eastAsiaTheme="minorEastAsia" w:cstheme="minorEastAsia"/>
                <w:color w:val="auto"/>
                <w:sz w:val="24"/>
                <w:highlight w:val="none"/>
              </w:rPr>
            </w:pPr>
          </w:p>
        </w:tc>
      </w:tr>
      <w:tr w14:paraId="62142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54D5FF64">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4D1D346C">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4D951D41">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66ED627A">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5A4E00EC">
            <w:pPr>
              <w:widowControl/>
              <w:jc w:val="left"/>
              <w:rPr>
                <w:rFonts w:hint="eastAsia" w:asciiTheme="minorEastAsia" w:hAnsiTheme="minorEastAsia" w:eastAsiaTheme="minorEastAsia" w:cstheme="minorEastAsia"/>
                <w:color w:val="auto"/>
                <w:sz w:val="24"/>
                <w:highlight w:val="none"/>
              </w:rPr>
            </w:pPr>
          </w:p>
        </w:tc>
      </w:tr>
      <w:tr w14:paraId="615C3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47E48CEA">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13E71A05">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406FF9A8">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33CD664B">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44A06E43">
            <w:pPr>
              <w:widowControl/>
              <w:jc w:val="left"/>
              <w:rPr>
                <w:rFonts w:hint="eastAsia" w:asciiTheme="minorEastAsia" w:hAnsiTheme="minorEastAsia" w:eastAsiaTheme="minorEastAsia" w:cstheme="minorEastAsia"/>
                <w:color w:val="auto"/>
                <w:sz w:val="24"/>
                <w:highlight w:val="none"/>
              </w:rPr>
            </w:pPr>
          </w:p>
        </w:tc>
      </w:tr>
    </w:tbl>
    <w:p w14:paraId="0BEEFD2F">
      <w:pPr>
        <w:pStyle w:val="13"/>
        <w:widowControl/>
        <w:spacing w:before="0" w:beforeAutospacing="0" w:after="0" w:afterAutospacing="0" w:line="500" w:lineRule="exact"/>
        <w:rPr>
          <w:rFonts w:hint="eastAsia" w:asciiTheme="minorEastAsia" w:hAnsiTheme="minorEastAsia" w:eastAsiaTheme="minorEastAsia" w:cstheme="minorEastAsia"/>
          <w:color w:val="auto"/>
          <w:sz w:val="21"/>
          <w:szCs w:val="21"/>
          <w:highlight w:val="none"/>
        </w:rPr>
      </w:pPr>
      <w:r>
        <w:rPr>
          <w:rStyle w:val="19"/>
          <w:rFonts w:hint="eastAsia" w:asciiTheme="minorEastAsia" w:hAnsiTheme="minorEastAsia" w:eastAsiaTheme="minorEastAsia" w:cstheme="minorEastAsia"/>
          <w:color w:val="auto"/>
          <w:sz w:val="21"/>
          <w:szCs w:val="21"/>
          <w:highlight w:val="none"/>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w:t>
      </w:r>
      <w:r>
        <w:rPr>
          <w:rFonts w:hint="eastAsia" w:asciiTheme="minorEastAsia" w:hAnsiTheme="minorEastAsia" w:eastAsiaTheme="minorEastAsia" w:cstheme="minorEastAsia"/>
          <w:color w:val="auto"/>
          <w:sz w:val="21"/>
          <w:szCs w:val="21"/>
          <w:highlight w:val="none"/>
          <w:lang w:eastAsia="zh-CN"/>
        </w:rPr>
        <w:t>采购</w:t>
      </w:r>
      <w:r>
        <w:rPr>
          <w:rStyle w:val="19"/>
          <w:rFonts w:hint="eastAsia" w:asciiTheme="minorEastAsia" w:hAnsiTheme="minorEastAsia" w:eastAsiaTheme="minorEastAsia" w:cstheme="minorEastAsia"/>
          <w:color w:val="auto"/>
          <w:sz w:val="21"/>
          <w:szCs w:val="21"/>
          <w:highlight w:val="none"/>
        </w:rPr>
        <w:t>人发现的任何负偏离或不响应或不满足均视为成交人违约，按供应商虚假承诺骗取成交处理，</w:t>
      </w:r>
      <w:r>
        <w:rPr>
          <w:rFonts w:hint="eastAsia" w:asciiTheme="minorEastAsia" w:hAnsiTheme="minorEastAsia" w:eastAsiaTheme="minorEastAsia" w:cstheme="minorEastAsia"/>
          <w:color w:val="auto"/>
          <w:sz w:val="21"/>
          <w:szCs w:val="21"/>
          <w:highlight w:val="none"/>
          <w:lang w:eastAsia="zh-CN"/>
        </w:rPr>
        <w:t>采购</w:t>
      </w:r>
      <w:r>
        <w:rPr>
          <w:rStyle w:val="19"/>
          <w:rFonts w:hint="eastAsia" w:asciiTheme="minorEastAsia" w:hAnsiTheme="minorEastAsia" w:eastAsiaTheme="minorEastAsia" w:cstheme="minorEastAsia"/>
          <w:color w:val="auto"/>
          <w:sz w:val="21"/>
          <w:szCs w:val="21"/>
          <w:highlight w:val="none"/>
        </w:rPr>
        <w:t>人将取消其成交人资格，其磋商保证金(如果未签订合同)将不予退还，给</w:t>
      </w:r>
      <w:r>
        <w:rPr>
          <w:rFonts w:hint="eastAsia" w:asciiTheme="minorEastAsia" w:hAnsiTheme="minorEastAsia" w:eastAsiaTheme="minorEastAsia" w:cstheme="minorEastAsia"/>
          <w:color w:val="auto"/>
          <w:sz w:val="21"/>
          <w:szCs w:val="21"/>
          <w:highlight w:val="none"/>
          <w:lang w:eastAsia="zh-CN"/>
        </w:rPr>
        <w:t>采购</w:t>
      </w:r>
      <w:r>
        <w:rPr>
          <w:rStyle w:val="19"/>
          <w:rFonts w:hint="eastAsia" w:asciiTheme="minorEastAsia" w:hAnsiTheme="minorEastAsia" w:eastAsiaTheme="minorEastAsia" w:cstheme="minorEastAsia"/>
          <w:color w:val="auto"/>
          <w:sz w:val="21"/>
          <w:szCs w:val="21"/>
          <w:highlight w:val="none"/>
        </w:rPr>
        <w:t>人和</w:t>
      </w:r>
      <w:r>
        <w:rPr>
          <w:rFonts w:hint="eastAsia" w:asciiTheme="minorEastAsia" w:hAnsiTheme="minorEastAsia" w:eastAsiaTheme="minorEastAsia" w:cstheme="minorEastAsia"/>
          <w:color w:val="auto"/>
          <w:sz w:val="21"/>
          <w:szCs w:val="21"/>
          <w:highlight w:val="none"/>
          <w:lang w:eastAsia="zh-CN"/>
        </w:rPr>
        <w:t>采购</w:t>
      </w:r>
      <w:r>
        <w:rPr>
          <w:rStyle w:val="19"/>
          <w:rFonts w:hint="eastAsia" w:asciiTheme="minorEastAsia" w:hAnsiTheme="minorEastAsia" w:eastAsiaTheme="minorEastAsia" w:cstheme="minorEastAsia"/>
          <w:color w:val="auto"/>
          <w:sz w:val="21"/>
          <w:szCs w:val="21"/>
          <w:highlight w:val="none"/>
        </w:rPr>
        <w:t>代理机构造成损失的，还必须进行赔偿并负相关责任。</w:t>
      </w:r>
    </w:p>
    <w:p w14:paraId="3F70FE9E">
      <w:pPr>
        <w:pStyle w:val="13"/>
        <w:widowControl/>
        <w:spacing w:before="0" w:beforeAutospacing="0" w:after="0" w:afterAutospacing="0" w:line="500" w:lineRule="exact"/>
        <w:rPr>
          <w:rFonts w:hint="eastAsia" w:asciiTheme="minorEastAsia" w:hAnsiTheme="minorEastAsia" w:eastAsiaTheme="minorEastAsia" w:cstheme="minorEastAsia"/>
          <w:color w:val="auto"/>
          <w:sz w:val="21"/>
          <w:szCs w:val="21"/>
          <w:highlight w:val="none"/>
        </w:rPr>
      </w:pPr>
      <w:r>
        <w:rPr>
          <w:rStyle w:val="19"/>
          <w:rFonts w:hint="eastAsia" w:asciiTheme="minorEastAsia" w:hAnsiTheme="minorEastAsia" w:eastAsiaTheme="minorEastAsia" w:cstheme="minorEastAsia"/>
          <w:color w:val="auto"/>
          <w:sz w:val="21"/>
          <w:szCs w:val="21"/>
          <w:highlight w:val="none"/>
        </w:rPr>
        <w:t>(2)磋商文件不能详细列明</w:t>
      </w:r>
      <w:r>
        <w:rPr>
          <w:rFonts w:hint="eastAsia" w:asciiTheme="minorEastAsia" w:hAnsiTheme="minorEastAsia" w:eastAsiaTheme="minorEastAsia" w:cstheme="minorEastAsia"/>
          <w:color w:val="auto"/>
          <w:spacing w:val="0"/>
          <w:sz w:val="21"/>
          <w:szCs w:val="21"/>
          <w:highlight w:val="none"/>
        </w:rPr>
        <w:t>采购</w:t>
      </w:r>
      <w:r>
        <w:rPr>
          <w:rStyle w:val="19"/>
          <w:rFonts w:hint="eastAsia" w:asciiTheme="minorEastAsia" w:hAnsiTheme="minorEastAsia" w:eastAsiaTheme="minorEastAsia" w:cstheme="minorEastAsia"/>
          <w:color w:val="auto"/>
          <w:sz w:val="21"/>
          <w:szCs w:val="21"/>
          <w:highlight w:val="none"/>
        </w:rPr>
        <w:t>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14:paraId="66D71435">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供应商代表签字： _________________</w:t>
      </w:r>
    </w:p>
    <w:p w14:paraId="4FEDC888">
      <w:pPr>
        <w:pStyle w:val="13"/>
        <w:widowControl/>
        <w:spacing w:before="0" w:beforeAutospacing="0" w:after="0" w:afterAutospacing="0" w:line="500" w:lineRule="exact"/>
        <w:rPr>
          <w:rStyle w:val="19"/>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r>
        <w:rPr>
          <w:rFonts w:hint="eastAsia" w:asciiTheme="minorEastAsia" w:hAnsiTheme="minorEastAsia" w:eastAsiaTheme="minorEastAsia" w:cstheme="minorEastAsia"/>
          <w:color w:val="auto"/>
          <w:highlight w:val="none"/>
        </w:rPr>
        <w:t>附件</w:t>
      </w:r>
      <w:r>
        <w:rPr>
          <w:rFonts w:hint="eastAsia" w:asciiTheme="minorEastAsia" w:hAnsiTheme="minorEastAsia" w:eastAsiaTheme="minorEastAsia" w:cstheme="minorEastAsia"/>
          <w:color w:val="auto"/>
          <w:highlight w:val="none"/>
          <w:lang w:val="en-US" w:eastAsia="zh-CN"/>
        </w:rPr>
        <w:t>4-2</w:t>
      </w:r>
      <w:r>
        <w:rPr>
          <w:rFonts w:hint="eastAsia" w:asciiTheme="minorEastAsia" w:hAnsiTheme="minorEastAsia" w:eastAsiaTheme="minorEastAsia" w:cstheme="minorEastAsia"/>
          <w:color w:val="auto"/>
          <w:highlight w:val="none"/>
        </w:rPr>
        <w:t>      </w:t>
      </w:r>
      <w:r>
        <w:rPr>
          <w:rStyle w:val="19"/>
          <w:rFonts w:hint="eastAsia" w:asciiTheme="minorEastAsia" w:hAnsiTheme="minorEastAsia" w:eastAsiaTheme="minorEastAsia" w:cstheme="minorEastAsia"/>
          <w:color w:val="auto"/>
          <w:highlight w:val="none"/>
        </w:rPr>
        <w:t> </w:t>
      </w:r>
    </w:p>
    <w:p w14:paraId="7A26B4FD">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商务条件和其它事项响应表</w:t>
      </w:r>
    </w:p>
    <w:p w14:paraId="0E08A70D">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(全称加盖单位公章)</w:t>
      </w:r>
      <w:r>
        <w:rPr>
          <w:rFonts w:hint="eastAsia" w:asciiTheme="minorEastAsia" w:hAnsiTheme="minorEastAsia" w:eastAsiaTheme="minorEastAsia" w:cstheme="minorEastAsia"/>
          <w:color w:val="auto"/>
          <w:highlight w:val="none"/>
        </w:rPr>
        <w:t>  项目编号∶</w:t>
      </w:r>
      <w:r>
        <w:rPr>
          <w:rFonts w:hint="eastAsia" w:asciiTheme="minorEastAsia" w:hAnsiTheme="minorEastAsia" w:eastAsiaTheme="minorEastAsia" w:cstheme="minorEastAsia"/>
          <w:color w:val="auto"/>
          <w:highlight w:val="none"/>
          <w:u w:val="single"/>
        </w:rPr>
        <w:t>       </w:t>
      </w:r>
    </w:p>
    <w:tbl>
      <w:tblPr>
        <w:tblStyle w:val="16"/>
        <w:tblW w:w="9971" w:type="dxa"/>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04"/>
        <w:gridCol w:w="1420"/>
        <w:gridCol w:w="3530"/>
        <w:gridCol w:w="3530"/>
        <w:gridCol w:w="987"/>
      </w:tblGrid>
      <w:tr w14:paraId="2A0A5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56" w:hRule="atLeast"/>
          <w:tblCellSpacing w:w="15" w:type="dxa"/>
          <w:jc w:val="center"/>
        </w:trPr>
        <w:tc>
          <w:tcPr>
            <w:tcW w:w="459" w:type="dxa"/>
            <w:noWrap w:val="0"/>
            <w:tcMar>
              <w:top w:w="0" w:type="dxa"/>
              <w:left w:w="84" w:type="dxa"/>
              <w:bottom w:w="0" w:type="dxa"/>
              <w:right w:w="84" w:type="dxa"/>
            </w:tcMar>
            <w:vAlign w:val="center"/>
          </w:tcPr>
          <w:p w14:paraId="4A37296F">
            <w:pPr>
              <w:pStyle w:val="13"/>
              <w:widowControl/>
              <w:spacing w:before="0" w:beforeAutospacing="0" w:after="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合同包</w:t>
            </w:r>
          </w:p>
        </w:tc>
        <w:tc>
          <w:tcPr>
            <w:tcW w:w="1390" w:type="dxa"/>
            <w:noWrap w:val="0"/>
            <w:tcMar>
              <w:top w:w="0" w:type="dxa"/>
              <w:left w:w="84" w:type="dxa"/>
              <w:bottom w:w="0" w:type="dxa"/>
              <w:right w:w="84" w:type="dxa"/>
            </w:tcMar>
            <w:vAlign w:val="center"/>
          </w:tcPr>
          <w:p w14:paraId="0159ECED">
            <w:pPr>
              <w:pStyle w:val="13"/>
              <w:widowControl/>
              <w:spacing w:before="0" w:beforeAutospacing="0" w:after="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章节条目号</w:t>
            </w:r>
          </w:p>
        </w:tc>
        <w:tc>
          <w:tcPr>
            <w:tcW w:w="3500" w:type="dxa"/>
            <w:noWrap w:val="0"/>
            <w:tcMar>
              <w:top w:w="0" w:type="dxa"/>
              <w:left w:w="84" w:type="dxa"/>
              <w:bottom w:w="0" w:type="dxa"/>
              <w:right w:w="84" w:type="dxa"/>
            </w:tcMar>
            <w:vAlign w:val="center"/>
          </w:tcPr>
          <w:p w14:paraId="14755A57">
            <w:pPr>
              <w:pStyle w:val="13"/>
              <w:widowControl/>
              <w:spacing w:before="0" w:beforeAutospacing="0" w:after="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竞争性磋商文件规定的商务条件要求</w:t>
            </w:r>
          </w:p>
        </w:tc>
        <w:tc>
          <w:tcPr>
            <w:tcW w:w="3500" w:type="dxa"/>
            <w:noWrap w:val="0"/>
            <w:tcMar>
              <w:top w:w="0" w:type="dxa"/>
              <w:left w:w="84" w:type="dxa"/>
              <w:bottom w:w="0" w:type="dxa"/>
              <w:right w:w="84" w:type="dxa"/>
            </w:tcMar>
            <w:vAlign w:val="center"/>
          </w:tcPr>
          <w:p w14:paraId="3A00524E">
            <w:pPr>
              <w:pStyle w:val="13"/>
              <w:widowControl/>
              <w:spacing w:before="0" w:beforeAutospacing="0" w:after="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响应文件响应承诺</w:t>
            </w:r>
          </w:p>
        </w:tc>
        <w:tc>
          <w:tcPr>
            <w:tcW w:w="942" w:type="dxa"/>
            <w:noWrap w:val="0"/>
            <w:tcMar>
              <w:top w:w="0" w:type="dxa"/>
              <w:left w:w="84" w:type="dxa"/>
              <w:bottom w:w="0" w:type="dxa"/>
              <w:right w:w="84" w:type="dxa"/>
            </w:tcMar>
            <w:vAlign w:val="center"/>
          </w:tcPr>
          <w:p w14:paraId="33FE67F1">
            <w:pPr>
              <w:pStyle w:val="13"/>
              <w:widowControl/>
              <w:spacing w:before="0" w:beforeAutospacing="0" w:after="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是否偏离及说明</w:t>
            </w:r>
          </w:p>
        </w:tc>
      </w:tr>
      <w:tr w14:paraId="0E330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5FDFFF31">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7819D034">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544A972C">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5338335B">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3E416C46">
            <w:pPr>
              <w:widowControl/>
              <w:jc w:val="left"/>
              <w:rPr>
                <w:rFonts w:hint="eastAsia" w:asciiTheme="minorEastAsia" w:hAnsiTheme="minorEastAsia" w:eastAsiaTheme="minorEastAsia" w:cstheme="minorEastAsia"/>
                <w:color w:val="auto"/>
                <w:sz w:val="24"/>
                <w:highlight w:val="none"/>
              </w:rPr>
            </w:pPr>
          </w:p>
        </w:tc>
      </w:tr>
      <w:tr w14:paraId="22E0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46542E16">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5CC18DAE">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05F29929">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4406CE37">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00D31379">
            <w:pPr>
              <w:widowControl/>
              <w:jc w:val="left"/>
              <w:rPr>
                <w:rFonts w:hint="eastAsia" w:asciiTheme="minorEastAsia" w:hAnsiTheme="minorEastAsia" w:eastAsiaTheme="minorEastAsia" w:cstheme="minorEastAsia"/>
                <w:color w:val="auto"/>
                <w:sz w:val="24"/>
                <w:highlight w:val="none"/>
              </w:rPr>
            </w:pPr>
          </w:p>
        </w:tc>
      </w:tr>
      <w:tr w14:paraId="565C5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5870A90C">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74063C2D">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2DE0BB94">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33927700">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4385A460">
            <w:pPr>
              <w:widowControl/>
              <w:jc w:val="left"/>
              <w:rPr>
                <w:rFonts w:hint="eastAsia" w:asciiTheme="minorEastAsia" w:hAnsiTheme="minorEastAsia" w:eastAsiaTheme="minorEastAsia" w:cstheme="minorEastAsia"/>
                <w:color w:val="auto"/>
                <w:sz w:val="24"/>
                <w:highlight w:val="none"/>
              </w:rPr>
            </w:pPr>
          </w:p>
        </w:tc>
      </w:tr>
      <w:tr w14:paraId="257DC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6E3B41EE">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3FDD93E1">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2FBDA917">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019006F4">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12F8714E">
            <w:pPr>
              <w:widowControl/>
              <w:jc w:val="left"/>
              <w:rPr>
                <w:rFonts w:hint="eastAsia" w:asciiTheme="minorEastAsia" w:hAnsiTheme="minorEastAsia" w:eastAsiaTheme="minorEastAsia" w:cstheme="minorEastAsia"/>
                <w:color w:val="auto"/>
                <w:sz w:val="24"/>
                <w:highlight w:val="none"/>
              </w:rPr>
            </w:pPr>
          </w:p>
        </w:tc>
      </w:tr>
      <w:tr w14:paraId="55EAF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7A7E81B9">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151793AA">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10B298D6">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7E89255E">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0EED6264">
            <w:pPr>
              <w:widowControl/>
              <w:jc w:val="left"/>
              <w:rPr>
                <w:rFonts w:hint="eastAsia" w:asciiTheme="minorEastAsia" w:hAnsiTheme="minorEastAsia" w:eastAsiaTheme="minorEastAsia" w:cstheme="minorEastAsia"/>
                <w:color w:val="auto"/>
                <w:sz w:val="24"/>
                <w:highlight w:val="none"/>
              </w:rPr>
            </w:pPr>
          </w:p>
        </w:tc>
      </w:tr>
      <w:tr w14:paraId="2892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0D046CD3">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343C3A30">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2889D890">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1E621E35">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6881A474">
            <w:pPr>
              <w:widowControl/>
              <w:jc w:val="left"/>
              <w:rPr>
                <w:rFonts w:hint="eastAsia" w:asciiTheme="minorEastAsia" w:hAnsiTheme="minorEastAsia" w:eastAsiaTheme="minorEastAsia" w:cstheme="minorEastAsia"/>
                <w:color w:val="auto"/>
                <w:sz w:val="24"/>
                <w:highlight w:val="none"/>
              </w:rPr>
            </w:pPr>
          </w:p>
        </w:tc>
      </w:tr>
      <w:tr w14:paraId="01CDE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115F5591">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11E6F795">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3AE48736">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583C1040">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5202EB31">
            <w:pPr>
              <w:widowControl/>
              <w:jc w:val="left"/>
              <w:rPr>
                <w:rFonts w:hint="eastAsia" w:asciiTheme="minorEastAsia" w:hAnsiTheme="minorEastAsia" w:eastAsiaTheme="minorEastAsia" w:cstheme="minorEastAsia"/>
                <w:color w:val="auto"/>
                <w:sz w:val="24"/>
                <w:highlight w:val="none"/>
              </w:rPr>
            </w:pPr>
          </w:p>
        </w:tc>
      </w:tr>
      <w:tr w14:paraId="73D4D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510633CA">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791BB5E6">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6843B8F5">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4993078A">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30E00149">
            <w:pPr>
              <w:widowControl/>
              <w:jc w:val="left"/>
              <w:rPr>
                <w:rFonts w:hint="eastAsia" w:asciiTheme="minorEastAsia" w:hAnsiTheme="minorEastAsia" w:eastAsiaTheme="minorEastAsia" w:cstheme="minorEastAsia"/>
                <w:color w:val="auto"/>
                <w:sz w:val="24"/>
                <w:highlight w:val="none"/>
              </w:rPr>
            </w:pPr>
          </w:p>
        </w:tc>
      </w:tr>
      <w:tr w14:paraId="39F8F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175FF0A7">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5389F23F">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55E8C5F1">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390A1D33">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2E3B7238">
            <w:pPr>
              <w:widowControl/>
              <w:jc w:val="left"/>
              <w:rPr>
                <w:rFonts w:hint="eastAsia" w:asciiTheme="minorEastAsia" w:hAnsiTheme="minorEastAsia" w:eastAsiaTheme="minorEastAsia" w:cstheme="minorEastAsia"/>
                <w:color w:val="auto"/>
                <w:sz w:val="24"/>
                <w:highlight w:val="none"/>
              </w:rPr>
            </w:pPr>
          </w:p>
        </w:tc>
      </w:tr>
      <w:tr w14:paraId="55DCC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72FEB5C2">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4FF36BA3">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52DA439B">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02D8BE71">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1CCEB58B">
            <w:pPr>
              <w:widowControl/>
              <w:jc w:val="left"/>
              <w:rPr>
                <w:rFonts w:hint="eastAsia" w:asciiTheme="minorEastAsia" w:hAnsiTheme="minorEastAsia" w:eastAsiaTheme="minorEastAsia" w:cstheme="minorEastAsia"/>
                <w:color w:val="auto"/>
                <w:sz w:val="24"/>
                <w:highlight w:val="none"/>
              </w:rPr>
            </w:pPr>
          </w:p>
        </w:tc>
      </w:tr>
      <w:tr w14:paraId="655BD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0F567B4C">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59CA62A3">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40F49B87">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680F1EE5">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2DE34A17">
            <w:pPr>
              <w:widowControl/>
              <w:jc w:val="left"/>
              <w:rPr>
                <w:rFonts w:hint="eastAsia" w:asciiTheme="minorEastAsia" w:hAnsiTheme="minorEastAsia" w:eastAsiaTheme="minorEastAsia" w:cstheme="minorEastAsia"/>
                <w:color w:val="auto"/>
                <w:sz w:val="24"/>
                <w:highlight w:val="none"/>
              </w:rPr>
            </w:pPr>
          </w:p>
        </w:tc>
      </w:tr>
    </w:tbl>
    <w:p w14:paraId="03C615D6">
      <w:pPr>
        <w:pStyle w:val="13"/>
        <w:widowControl/>
        <w:spacing w:before="0" w:beforeAutospacing="0" w:after="0" w:afterAutospacing="0" w:line="500" w:lineRule="exact"/>
        <w:rPr>
          <w:rFonts w:hint="eastAsia" w:asciiTheme="minorEastAsia" w:hAnsiTheme="minorEastAsia" w:eastAsiaTheme="minorEastAsia" w:cstheme="minorEastAsia"/>
          <w:color w:val="auto"/>
          <w:sz w:val="21"/>
          <w:szCs w:val="21"/>
          <w:highlight w:val="none"/>
        </w:rPr>
      </w:pPr>
      <w:r>
        <w:rPr>
          <w:rStyle w:val="19"/>
          <w:rFonts w:hint="eastAsia" w:asciiTheme="minorEastAsia" w:hAnsiTheme="minorEastAsia" w:eastAsiaTheme="minorEastAsia" w:cstheme="minorEastAsia"/>
          <w:color w:val="auto"/>
          <w:sz w:val="21"/>
          <w:szCs w:val="21"/>
          <w:highlight w:val="none"/>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w:t>
      </w:r>
      <w:r>
        <w:rPr>
          <w:rFonts w:hint="eastAsia" w:asciiTheme="minorEastAsia" w:hAnsiTheme="minorEastAsia" w:eastAsiaTheme="minorEastAsia" w:cstheme="minorEastAsia"/>
          <w:color w:val="auto"/>
          <w:sz w:val="21"/>
          <w:szCs w:val="21"/>
          <w:highlight w:val="none"/>
          <w:lang w:eastAsia="zh-CN"/>
        </w:rPr>
        <w:t>采购</w:t>
      </w:r>
      <w:r>
        <w:rPr>
          <w:rStyle w:val="19"/>
          <w:rFonts w:hint="eastAsia" w:asciiTheme="minorEastAsia" w:hAnsiTheme="minorEastAsia" w:eastAsiaTheme="minorEastAsia" w:cstheme="minorEastAsia"/>
          <w:color w:val="auto"/>
          <w:sz w:val="21"/>
          <w:szCs w:val="21"/>
          <w:highlight w:val="none"/>
        </w:rPr>
        <w:t>人发现的任何负偏离或不响应或不满足均视为成交人违约，按供应商虚假承诺骗取成交处理，</w:t>
      </w:r>
      <w:r>
        <w:rPr>
          <w:rFonts w:hint="eastAsia" w:asciiTheme="minorEastAsia" w:hAnsiTheme="minorEastAsia" w:eastAsiaTheme="minorEastAsia" w:cstheme="minorEastAsia"/>
          <w:color w:val="auto"/>
          <w:sz w:val="21"/>
          <w:szCs w:val="21"/>
          <w:highlight w:val="none"/>
          <w:lang w:eastAsia="zh-CN"/>
        </w:rPr>
        <w:t>采购</w:t>
      </w:r>
      <w:r>
        <w:rPr>
          <w:rStyle w:val="19"/>
          <w:rFonts w:hint="eastAsia" w:asciiTheme="minorEastAsia" w:hAnsiTheme="minorEastAsia" w:eastAsiaTheme="minorEastAsia" w:cstheme="minorEastAsia"/>
          <w:color w:val="auto"/>
          <w:sz w:val="21"/>
          <w:szCs w:val="21"/>
          <w:highlight w:val="none"/>
        </w:rPr>
        <w:t>人将取消其成交人资格，其磋商保证金(如果未签订合同)将不予退还，给</w:t>
      </w:r>
      <w:r>
        <w:rPr>
          <w:rStyle w:val="19"/>
          <w:rFonts w:hint="eastAsia" w:asciiTheme="minorEastAsia" w:hAnsiTheme="minorEastAsia" w:eastAsiaTheme="minorEastAsia" w:cstheme="minorEastAsia"/>
          <w:color w:val="auto"/>
          <w:spacing w:val="0"/>
          <w:sz w:val="21"/>
          <w:szCs w:val="21"/>
          <w:highlight w:val="none"/>
        </w:rPr>
        <w:t>采购人和采购代理机构</w:t>
      </w:r>
      <w:r>
        <w:rPr>
          <w:rStyle w:val="19"/>
          <w:rFonts w:hint="eastAsia" w:asciiTheme="minorEastAsia" w:hAnsiTheme="minorEastAsia" w:eastAsiaTheme="minorEastAsia" w:cstheme="minorEastAsia"/>
          <w:color w:val="auto"/>
          <w:sz w:val="21"/>
          <w:szCs w:val="21"/>
          <w:highlight w:val="none"/>
        </w:rPr>
        <w:t>造成损失的，还必须进行赔偿并负相关责任。</w:t>
      </w:r>
    </w:p>
    <w:p w14:paraId="51D12527">
      <w:pPr>
        <w:pStyle w:val="13"/>
        <w:widowControl/>
        <w:spacing w:before="0" w:beforeAutospacing="0" w:after="0" w:afterAutospacing="0" w:line="500" w:lineRule="exact"/>
        <w:rPr>
          <w:rFonts w:hint="eastAsia" w:asciiTheme="minorEastAsia" w:hAnsiTheme="minorEastAsia" w:eastAsiaTheme="minorEastAsia" w:cstheme="minorEastAsia"/>
          <w:color w:val="auto"/>
          <w:sz w:val="21"/>
          <w:szCs w:val="21"/>
          <w:highlight w:val="none"/>
        </w:rPr>
      </w:pPr>
      <w:r>
        <w:rPr>
          <w:rStyle w:val="19"/>
          <w:rFonts w:hint="eastAsia" w:asciiTheme="minorEastAsia" w:hAnsiTheme="minorEastAsia" w:eastAsiaTheme="minorEastAsia" w:cstheme="minorEastAsia"/>
          <w:color w:val="auto"/>
          <w:sz w:val="21"/>
          <w:szCs w:val="21"/>
          <w:highlight w:val="none"/>
        </w:rPr>
        <w:t>(2)磋商文件不能详细列明</w:t>
      </w:r>
      <w:r>
        <w:rPr>
          <w:rFonts w:hint="eastAsia" w:asciiTheme="minorEastAsia" w:hAnsiTheme="minorEastAsia" w:eastAsiaTheme="minorEastAsia" w:cstheme="minorEastAsia"/>
          <w:b/>
          <w:bCs/>
          <w:color w:val="auto"/>
          <w:spacing w:val="0"/>
          <w:sz w:val="21"/>
          <w:szCs w:val="21"/>
          <w:highlight w:val="none"/>
        </w:rPr>
        <w:t>采购</w:t>
      </w:r>
      <w:r>
        <w:rPr>
          <w:rStyle w:val="19"/>
          <w:rFonts w:hint="eastAsia" w:asciiTheme="minorEastAsia" w:hAnsiTheme="minorEastAsia" w:eastAsiaTheme="minorEastAsia" w:cstheme="minorEastAsia"/>
          <w:color w:val="auto"/>
          <w:sz w:val="21"/>
          <w:szCs w:val="21"/>
          <w:highlight w:val="none"/>
        </w:rPr>
        <w:t>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14:paraId="0082EE46">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供应商代表签字： _________________</w:t>
      </w:r>
    </w:p>
    <w:p w14:paraId="5AE0F2EF">
      <w:pPr>
        <w:pStyle w:val="13"/>
        <w:widowControl/>
        <w:spacing w:before="0" w:beforeAutospacing="0" w:after="0" w:afterAutospacing="0" w:line="500" w:lineRule="exact"/>
        <w:rPr>
          <w:rStyle w:val="19"/>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r>
        <w:rPr>
          <w:rFonts w:hint="eastAsia" w:asciiTheme="minorEastAsia" w:hAnsiTheme="minorEastAsia" w:eastAsiaTheme="minorEastAsia" w:cstheme="minorEastAsia"/>
          <w:color w:val="auto"/>
          <w:highlight w:val="none"/>
        </w:rPr>
        <w:t>附件5   </w:t>
      </w:r>
      <w:r>
        <w:rPr>
          <w:rStyle w:val="19"/>
          <w:rFonts w:hint="eastAsia" w:asciiTheme="minorEastAsia" w:hAnsiTheme="minorEastAsia" w:eastAsiaTheme="minorEastAsia" w:cstheme="minorEastAsia"/>
          <w:color w:val="auto"/>
          <w:highlight w:val="none"/>
        </w:rPr>
        <w:t>  </w:t>
      </w:r>
    </w:p>
    <w:p w14:paraId="10E5C688">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相关技术、商务、服务响应承诺及资料</w:t>
      </w:r>
    </w:p>
    <w:p w14:paraId="04C0D5D0">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3CDE1C86">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说明：    </w:t>
      </w:r>
    </w:p>
    <w:p w14:paraId="5983754F">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1.</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代理机构可以根据项目的特点和需要，在磋商文件中对供应商需要提供的相关技术、商务、服务响应承诺及资料进行具体规定或附表格式，供应商应按照磋商文件要求提供相关承诺及材料，并加盖供应商单位公章。</w:t>
      </w:r>
    </w:p>
    <w:p w14:paraId="2F0720A5">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2.如果没有特别要求的，供应商根据磋商文件的要求以及特点，提供相关技术、商务、服务响应承诺及资料，格式自拟。</w:t>
      </w:r>
    </w:p>
    <w:p w14:paraId="1021B5D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 </w:t>
      </w:r>
    </w:p>
    <w:p w14:paraId="38635087">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 </w:t>
      </w:r>
    </w:p>
    <w:p w14:paraId="6018F562">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3943D5D7">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035C5BAE">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 </w:t>
      </w:r>
    </w:p>
    <w:p w14:paraId="4D336D83">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6C766CFA">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47D07A00">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0B47B9F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084BB29F">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 </w:t>
      </w:r>
    </w:p>
    <w:p w14:paraId="52C2692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 </w:t>
      </w:r>
    </w:p>
    <w:p w14:paraId="3E38BB73">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 </w:t>
      </w:r>
    </w:p>
    <w:p w14:paraId="57C5D839">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7C60F4F3">
      <w:pPr>
        <w:pStyle w:val="13"/>
        <w:keepNext w:val="0"/>
        <w:keepLines w:val="0"/>
        <w:widowControl/>
        <w:suppressLineNumbers w:val="0"/>
        <w:spacing w:before="75" w:beforeAutospacing="0" w:after="75" w:afterAutospacing="0" w:line="435" w:lineRule="atLeast"/>
        <w:ind w:left="0" w:right="0" w:firstLine="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14:paraId="7DE269E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p>
    <w:p w14:paraId="0D473BA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w:t>
      </w:r>
      <w:r>
        <w:rPr>
          <w:rFonts w:hint="eastAsia" w:asciiTheme="minorEastAsia" w:hAnsiTheme="minorEastAsia" w:eastAsiaTheme="minorEastAsia" w:cstheme="minorEastAsia"/>
          <w:color w:val="auto"/>
          <w:highlight w:val="none"/>
          <w:lang w:val="en-US" w:eastAsia="zh-CN"/>
        </w:rPr>
        <w:t>6</w:t>
      </w:r>
      <w:r>
        <w:rPr>
          <w:rFonts w:hint="eastAsia" w:asciiTheme="minorEastAsia" w:hAnsiTheme="minorEastAsia" w:eastAsiaTheme="minorEastAsia" w:cstheme="minorEastAsia"/>
          <w:color w:val="auto"/>
          <w:highlight w:val="none"/>
        </w:rPr>
        <w:t>       </w:t>
      </w:r>
    </w:p>
    <w:p w14:paraId="63FC37C0">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要求作为响应文件组成部分的其他内容(若有)</w:t>
      </w:r>
    </w:p>
    <w:p w14:paraId="220B23C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019A3197">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说明：</w:t>
      </w:r>
    </w:p>
    <w:p w14:paraId="6369B15A">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采购人和采购代理机构可以根据项目的特点和需要，在磋商文件中对要求作为响应文件组成部分的其他内容进行具体规定或附表格式，供应商应按照磋商文件要求提供相关承诺及材料，并加盖供应商单位公章。</w:t>
      </w:r>
    </w:p>
    <w:p w14:paraId="36FCD430">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2、供应商根据自身实际情况编写有关资料包括如供应商单位简介、竞争性磋商文件要求提供或供应商自已认为体现自身优势，需要补充说明的其它资料，格式自拟。</w:t>
      </w:r>
    </w:p>
    <w:p w14:paraId="28F38681">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p>
    <w:p w14:paraId="6CC80BE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p>
    <w:p w14:paraId="1F35E810">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 </w:t>
      </w:r>
    </w:p>
    <w:p w14:paraId="06C8BA51">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12770143">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4F0FA01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7ECC2C0A">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14:paraId="22140A30">
      <w:pPr>
        <w:spacing w:line="360" w:lineRule="auto"/>
        <w:jc w:val="left"/>
        <w:rPr>
          <w:rFonts w:hint="eastAsia" w:asciiTheme="minorEastAsia" w:hAnsiTheme="minorEastAsia" w:eastAsiaTheme="minorEastAsia" w:cstheme="minorEastAsia"/>
          <w:b/>
          <w:color w:val="auto"/>
          <w:kern w:val="0"/>
          <w:sz w:val="32"/>
          <w:szCs w:val="32"/>
          <w:highlight w:val="none"/>
          <w:lang w:eastAsia="zh-CN"/>
        </w:rPr>
      </w:pPr>
      <w:r>
        <w:rPr>
          <w:rFonts w:hint="eastAsia" w:asciiTheme="minorEastAsia" w:hAnsiTheme="minorEastAsia" w:eastAsiaTheme="minorEastAsia" w:cstheme="minorEastAsia"/>
          <w:b/>
          <w:color w:val="auto"/>
          <w:kern w:val="0"/>
          <w:sz w:val="32"/>
          <w:szCs w:val="32"/>
          <w:highlight w:val="none"/>
        </w:rPr>
        <w:t>合同包一</w:t>
      </w:r>
    </w:p>
    <w:p w14:paraId="35605802">
      <w:pPr>
        <w:spacing w:line="360" w:lineRule="auto"/>
        <w:jc w:val="center"/>
        <w:rPr>
          <w:rFonts w:hint="eastAsia" w:asciiTheme="minorEastAsia" w:hAnsiTheme="minorEastAsia" w:eastAsiaTheme="minorEastAsia" w:cstheme="minorEastAsia"/>
          <w:b/>
          <w:color w:val="auto"/>
          <w:kern w:val="0"/>
          <w:sz w:val="32"/>
          <w:szCs w:val="32"/>
          <w:highlight w:val="none"/>
        </w:rPr>
      </w:pPr>
      <w:r>
        <w:rPr>
          <w:rFonts w:hint="eastAsia" w:asciiTheme="minorEastAsia" w:hAnsiTheme="minorEastAsia" w:eastAsiaTheme="minorEastAsia" w:cstheme="minorEastAsia"/>
          <w:b/>
          <w:color w:val="auto"/>
          <w:kern w:val="0"/>
          <w:sz w:val="32"/>
          <w:szCs w:val="32"/>
          <w:highlight w:val="none"/>
        </w:rPr>
        <w:t>第二次报价单</w:t>
      </w:r>
    </w:p>
    <w:p w14:paraId="30D360D5">
      <w:pPr>
        <w:spacing w:line="360" w:lineRule="auto"/>
        <w:ind w:firstLine="3132" w:firstLineChars="1300"/>
        <w:jc w:val="both"/>
        <w:rPr>
          <w:rFonts w:hint="eastAsia" w:asciiTheme="minorEastAsia" w:hAnsiTheme="minorEastAsia" w:eastAsiaTheme="minorEastAsia" w:cstheme="minorEastAsia"/>
          <w:b/>
          <w:color w:val="auto"/>
          <w:spacing w:val="4"/>
          <w:sz w:val="24"/>
          <w:highlight w:val="none"/>
          <w:u w:val="single"/>
          <w:lang w:val="en-US" w:eastAsia="zh-CN"/>
        </w:rPr>
      </w:pPr>
      <w:r>
        <w:rPr>
          <w:rFonts w:hint="eastAsia" w:asciiTheme="minorEastAsia" w:hAnsiTheme="minorEastAsia" w:eastAsiaTheme="minorEastAsia" w:cstheme="minorEastAsia"/>
          <w:b/>
          <w:color w:val="auto"/>
          <w:sz w:val="24"/>
          <w:highlight w:val="none"/>
        </w:rPr>
        <w:t>项目编号：</w:t>
      </w:r>
    </w:p>
    <w:p w14:paraId="431D4B98">
      <w:pPr>
        <w:pStyle w:val="5"/>
        <w:rPr>
          <w:rFonts w:hint="eastAsia" w:asciiTheme="minorEastAsia" w:hAnsiTheme="minorEastAsia" w:eastAsiaTheme="minorEastAsia" w:cstheme="minorEastAsia"/>
          <w:color w:val="auto"/>
          <w:highlight w:val="none"/>
        </w:rPr>
      </w:pPr>
    </w:p>
    <w:p w14:paraId="1D157329">
      <w:pPr>
        <w:spacing w:line="360" w:lineRule="auto"/>
        <w:rPr>
          <w:rFonts w:hint="eastAsia" w:asciiTheme="minorEastAsia" w:hAnsiTheme="minorEastAsia" w:eastAsiaTheme="minorEastAsia" w:cstheme="minorEastAsia"/>
          <w:color w:val="auto"/>
          <w:kern w:val="0"/>
          <w:sz w:val="24"/>
          <w:highlight w:val="none"/>
          <w:lang w:eastAsia="zh-CN"/>
        </w:rPr>
      </w:pPr>
      <w:r>
        <w:rPr>
          <w:rFonts w:hint="eastAsia" w:asciiTheme="minorEastAsia" w:hAnsiTheme="minorEastAsia" w:eastAsiaTheme="minorEastAsia" w:cstheme="minorEastAsia"/>
          <w:color w:val="auto"/>
          <w:sz w:val="24"/>
          <w:highlight w:val="none"/>
        </w:rPr>
        <w:t>致：</w:t>
      </w:r>
      <w:r>
        <w:rPr>
          <w:rFonts w:hint="eastAsia" w:asciiTheme="minorEastAsia" w:hAnsiTheme="minorEastAsia" w:eastAsiaTheme="minorEastAsia" w:cstheme="minorEastAsia"/>
          <w:color w:val="auto"/>
          <w:sz w:val="24"/>
          <w:highlight w:val="none"/>
          <w:u w:val="single"/>
          <w:lang w:eastAsia="zh-CN"/>
        </w:rPr>
        <w:t>龙岩学院</w:t>
      </w:r>
      <w:r>
        <w:rPr>
          <w:rFonts w:hint="eastAsia" w:asciiTheme="minorEastAsia" w:hAnsiTheme="minorEastAsia" w:eastAsiaTheme="minorEastAsia" w:cstheme="minorEastAsia"/>
          <w:color w:val="auto"/>
          <w:sz w:val="24"/>
          <w:highlight w:val="none"/>
          <w:u w:val="single"/>
        </w:rPr>
        <w:t>、</w:t>
      </w:r>
      <w:r>
        <w:rPr>
          <w:rFonts w:hint="eastAsia" w:asciiTheme="minorEastAsia" w:hAnsiTheme="minorEastAsia" w:eastAsiaTheme="minorEastAsia" w:cstheme="minorEastAsia"/>
          <w:color w:val="auto"/>
          <w:sz w:val="24"/>
          <w:highlight w:val="none"/>
          <w:u w:val="single"/>
          <w:lang w:eastAsia="zh-CN"/>
        </w:rPr>
        <w:t>龙岩市鑫达工程管理有限公司</w:t>
      </w:r>
    </w:p>
    <w:p w14:paraId="6F97D33D">
      <w:pPr>
        <w:spacing w:line="360" w:lineRule="auto"/>
        <w:ind w:firstLine="480" w:firstLineChars="2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根据</w:t>
      </w:r>
      <w:r>
        <w:rPr>
          <w:rFonts w:hint="eastAsia" w:asciiTheme="minorEastAsia" w:hAnsiTheme="minorEastAsia" w:eastAsiaTheme="minorEastAsia" w:cstheme="minorEastAsia"/>
          <w:color w:val="auto"/>
          <w:kern w:val="0"/>
          <w:sz w:val="24"/>
          <w:highlight w:val="none"/>
          <w:lang w:val="en-US" w:eastAsia="zh-CN"/>
        </w:rPr>
        <w:t>竞争性磋商</w:t>
      </w:r>
      <w:r>
        <w:rPr>
          <w:rFonts w:hint="eastAsia" w:asciiTheme="minorEastAsia" w:hAnsiTheme="minorEastAsia" w:eastAsiaTheme="minorEastAsia" w:cstheme="minorEastAsia"/>
          <w:color w:val="auto"/>
          <w:kern w:val="0"/>
          <w:sz w:val="24"/>
          <w:highlight w:val="none"/>
        </w:rPr>
        <w:t>会议上明确的各项要求，本人经请示公司领导同意并代表本公司对竞争性</w:t>
      </w:r>
      <w:r>
        <w:rPr>
          <w:rFonts w:hint="eastAsia" w:asciiTheme="minorEastAsia" w:hAnsiTheme="minorEastAsia" w:eastAsiaTheme="minorEastAsia" w:cstheme="minorEastAsia"/>
          <w:color w:val="auto"/>
          <w:kern w:val="0"/>
          <w:sz w:val="24"/>
          <w:highlight w:val="none"/>
          <w:lang w:val="en-US" w:eastAsia="zh-CN"/>
        </w:rPr>
        <w:t>磋商</w:t>
      </w:r>
      <w:r>
        <w:rPr>
          <w:rFonts w:hint="eastAsia" w:asciiTheme="minorEastAsia" w:hAnsiTheme="minorEastAsia" w:eastAsiaTheme="minorEastAsia" w:cstheme="minorEastAsia"/>
          <w:color w:val="auto"/>
          <w:kern w:val="0"/>
          <w:sz w:val="24"/>
          <w:highlight w:val="none"/>
        </w:rPr>
        <w:t>项目做出第二轮报价（人民币）如下：</w:t>
      </w:r>
    </w:p>
    <w:p w14:paraId="483DF399">
      <w:pPr>
        <w:spacing w:line="360" w:lineRule="auto"/>
        <w:ind w:firstLine="480" w:firstLineChars="200"/>
        <w:rPr>
          <w:rFonts w:hint="eastAsia" w:asciiTheme="minorEastAsia" w:hAnsiTheme="minorEastAsia" w:eastAsiaTheme="minorEastAsia" w:cstheme="minorEastAsia"/>
          <w:color w:val="auto"/>
          <w:kern w:val="0"/>
          <w:sz w:val="24"/>
          <w:highlight w:val="none"/>
        </w:rPr>
      </w:pPr>
    </w:p>
    <w:tbl>
      <w:tblPr>
        <w:tblStyle w:val="16"/>
        <w:tblW w:w="9661" w:type="dxa"/>
        <w:tblCellSpacing w:w="15" w:type="dxa"/>
        <w:tblInd w:w="-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202"/>
        <w:gridCol w:w="3415"/>
        <w:gridCol w:w="2319"/>
        <w:gridCol w:w="2725"/>
      </w:tblGrid>
      <w:tr w14:paraId="78EAF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32" w:hRule="atLeast"/>
          <w:tblCellSpacing w:w="15" w:type="dxa"/>
        </w:trPr>
        <w:tc>
          <w:tcPr>
            <w:tcW w:w="1157" w:type="dxa"/>
            <w:noWrap w:val="0"/>
            <w:tcMar>
              <w:top w:w="0" w:type="dxa"/>
              <w:left w:w="84" w:type="dxa"/>
              <w:bottom w:w="0" w:type="dxa"/>
              <w:right w:w="84" w:type="dxa"/>
            </w:tcMar>
            <w:vAlign w:val="center"/>
          </w:tcPr>
          <w:p w14:paraId="3925E1FB">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合同包</w:t>
            </w:r>
          </w:p>
        </w:tc>
        <w:tc>
          <w:tcPr>
            <w:tcW w:w="3385" w:type="dxa"/>
            <w:noWrap w:val="0"/>
            <w:tcMar>
              <w:top w:w="0" w:type="dxa"/>
              <w:left w:w="84" w:type="dxa"/>
              <w:bottom w:w="0" w:type="dxa"/>
              <w:right w:w="84" w:type="dxa"/>
            </w:tcMar>
            <w:vAlign w:val="center"/>
          </w:tcPr>
          <w:p w14:paraId="1C53EDAE">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二次</w:t>
            </w:r>
            <w:r>
              <w:rPr>
                <w:rFonts w:hint="eastAsia" w:asciiTheme="minorEastAsia" w:hAnsiTheme="minorEastAsia" w:eastAsiaTheme="minorEastAsia" w:cstheme="minorEastAsia"/>
                <w:color w:val="auto"/>
                <w:highlight w:val="none"/>
              </w:rPr>
              <w:t>报价</w:t>
            </w:r>
          </w:p>
        </w:tc>
        <w:tc>
          <w:tcPr>
            <w:tcW w:w="2289" w:type="dxa"/>
            <w:noWrap w:val="0"/>
            <w:tcMar>
              <w:top w:w="0" w:type="dxa"/>
              <w:left w:w="84" w:type="dxa"/>
              <w:bottom w:w="0" w:type="dxa"/>
              <w:right w:w="84" w:type="dxa"/>
            </w:tcMar>
            <w:vAlign w:val="center"/>
          </w:tcPr>
          <w:p w14:paraId="2CF6771A">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服务时间</w:t>
            </w:r>
          </w:p>
        </w:tc>
        <w:tc>
          <w:tcPr>
            <w:tcW w:w="2680" w:type="dxa"/>
            <w:noWrap w:val="0"/>
            <w:tcMar>
              <w:top w:w="0" w:type="dxa"/>
              <w:left w:w="84" w:type="dxa"/>
              <w:bottom w:w="0" w:type="dxa"/>
              <w:right w:w="84" w:type="dxa"/>
            </w:tcMar>
            <w:vAlign w:val="center"/>
          </w:tcPr>
          <w:p w14:paraId="1D3DEC85">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w:t>
            </w:r>
          </w:p>
        </w:tc>
      </w:tr>
      <w:tr w14:paraId="4A95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32" w:hRule="atLeast"/>
          <w:tblCellSpacing w:w="15" w:type="dxa"/>
        </w:trPr>
        <w:tc>
          <w:tcPr>
            <w:tcW w:w="1157" w:type="dxa"/>
            <w:noWrap w:val="0"/>
            <w:tcMar>
              <w:top w:w="0" w:type="dxa"/>
              <w:left w:w="84" w:type="dxa"/>
              <w:bottom w:w="0" w:type="dxa"/>
              <w:right w:w="84" w:type="dxa"/>
            </w:tcMar>
            <w:vAlign w:val="center"/>
          </w:tcPr>
          <w:p w14:paraId="66FA2338">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val="en-US" w:eastAsia="zh-CN"/>
              </w:rPr>
              <w:t>1</w:t>
            </w:r>
          </w:p>
        </w:tc>
        <w:tc>
          <w:tcPr>
            <w:tcW w:w="3385" w:type="dxa"/>
            <w:noWrap w:val="0"/>
            <w:tcMar>
              <w:top w:w="0" w:type="dxa"/>
              <w:left w:w="84" w:type="dxa"/>
              <w:bottom w:w="0" w:type="dxa"/>
              <w:right w:w="84" w:type="dxa"/>
            </w:tcMar>
            <w:vAlign w:val="center"/>
          </w:tcPr>
          <w:p w14:paraId="1685D3EF">
            <w:pPr>
              <w:widowControl/>
              <w:jc w:val="center"/>
              <w:rPr>
                <w:rFonts w:hint="eastAsia" w:asciiTheme="minorEastAsia" w:hAnsiTheme="minorEastAsia" w:eastAsiaTheme="minorEastAsia" w:cstheme="minorEastAsia"/>
                <w:color w:val="auto"/>
                <w:sz w:val="24"/>
                <w:highlight w:val="none"/>
                <w:lang w:val="en-US" w:eastAsia="zh-CN"/>
              </w:rPr>
            </w:pPr>
          </w:p>
        </w:tc>
        <w:tc>
          <w:tcPr>
            <w:tcW w:w="2289" w:type="dxa"/>
            <w:noWrap w:val="0"/>
            <w:tcMar>
              <w:top w:w="0" w:type="dxa"/>
              <w:left w:w="84" w:type="dxa"/>
              <w:bottom w:w="0" w:type="dxa"/>
              <w:right w:w="84" w:type="dxa"/>
            </w:tcMar>
            <w:vAlign w:val="center"/>
          </w:tcPr>
          <w:p w14:paraId="71E6E635">
            <w:pPr>
              <w:widowControl/>
              <w:jc w:val="center"/>
              <w:rPr>
                <w:rFonts w:hint="eastAsia" w:asciiTheme="minorEastAsia" w:hAnsiTheme="minorEastAsia" w:eastAsiaTheme="minorEastAsia" w:cstheme="minorEastAsia"/>
                <w:color w:val="auto"/>
                <w:sz w:val="24"/>
                <w:highlight w:val="none"/>
              </w:rPr>
            </w:pPr>
          </w:p>
        </w:tc>
        <w:tc>
          <w:tcPr>
            <w:tcW w:w="2680" w:type="dxa"/>
            <w:noWrap w:val="0"/>
            <w:tcMar>
              <w:top w:w="0" w:type="dxa"/>
              <w:left w:w="84" w:type="dxa"/>
              <w:bottom w:w="0" w:type="dxa"/>
              <w:right w:w="84" w:type="dxa"/>
            </w:tcMar>
            <w:vAlign w:val="center"/>
          </w:tcPr>
          <w:p w14:paraId="223F13D3">
            <w:pPr>
              <w:widowControl/>
              <w:jc w:val="center"/>
              <w:rPr>
                <w:rFonts w:hint="eastAsia" w:asciiTheme="minorEastAsia" w:hAnsiTheme="minorEastAsia" w:eastAsiaTheme="minorEastAsia" w:cstheme="minorEastAsia"/>
                <w:color w:val="auto"/>
                <w:sz w:val="24"/>
                <w:highlight w:val="none"/>
              </w:rPr>
            </w:pPr>
          </w:p>
        </w:tc>
      </w:tr>
    </w:tbl>
    <w:p w14:paraId="057E6F39">
      <w:pPr>
        <w:spacing w:line="360" w:lineRule="auto"/>
        <w:ind w:firstLine="420" w:firstLineChars="200"/>
        <w:rPr>
          <w:rFonts w:hint="eastAsia" w:asciiTheme="minorEastAsia" w:hAnsiTheme="minorEastAsia" w:eastAsiaTheme="minorEastAsia" w:cstheme="minorEastAsia"/>
          <w:color w:val="auto"/>
          <w:highlight w:val="none"/>
        </w:rPr>
      </w:pPr>
    </w:p>
    <w:p w14:paraId="7D82230D">
      <w:pPr>
        <w:spacing w:line="360" w:lineRule="auto"/>
        <w:ind w:firstLine="480" w:firstLineChars="200"/>
        <w:rPr>
          <w:rFonts w:hint="eastAsia" w:asciiTheme="minorEastAsia" w:hAnsiTheme="minorEastAsia" w:eastAsiaTheme="minorEastAsia" w:cstheme="minorEastAsia"/>
          <w:color w:val="auto"/>
          <w:kern w:val="0"/>
          <w:sz w:val="24"/>
          <w:highlight w:val="none"/>
        </w:rPr>
      </w:pPr>
    </w:p>
    <w:p w14:paraId="44D277BC">
      <w:pPr>
        <w:spacing w:line="360" w:lineRule="auto"/>
        <w:ind w:firstLine="480" w:firstLineChars="200"/>
        <w:rPr>
          <w:rFonts w:hint="eastAsia" w:asciiTheme="minorEastAsia" w:hAnsiTheme="minorEastAsia" w:eastAsiaTheme="minorEastAsia" w:cstheme="minorEastAsia"/>
          <w:color w:val="auto"/>
          <w:kern w:val="0"/>
          <w:sz w:val="24"/>
          <w:highlight w:val="none"/>
        </w:rPr>
      </w:pPr>
    </w:p>
    <w:p w14:paraId="28593808">
      <w:pPr>
        <w:spacing w:line="360" w:lineRule="auto"/>
        <w:ind w:firstLine="480" w:firstLineChars="200"/>
        <w:rPr>
          <w:rFonts w:hint="eastAsia" w:asciiTheme="minorEastAsia" w:hAnsiTheme="minorEastAsia" w:eastAsiaTheme="minorEastAsia" w:cstheme="minorEastAsia"/>
          <w:color w:val="auto"/>
          <w:kern w:val="0"/>
          <w:sz w:val="24"/>
          <w:highlight w:val="none"/>
          <w:lang w:eastAsia="zh-CN"/>
        </w:rPr>
      </w:pPr>
      <w:r>
        <w:rPr>
          <w:rFonts w:hint="eastAsia" w:asciiTheme="minorEastAsia" w:hAnsiTheme="minorEastAsia" w:eastAsiaTheme="minorEastAsia" w:cstheme="minorEastAsia"/>
          <w:color w:val="auto"/>
          <w:kern w:val="0"/>
          <w:sz w:val="24"/>
          <w:highlight w:val="none"/>
        </w:rPr>
        <w:t>相关补充说明：</w:t>
      </w:r>
    </w:p>
    <w:p w14:paraId="3124384F">
      <w:pPr>
        <w:spacing w:line="360" w:lineRule="auto"/>
        <w:rPr>
          <w:rFonts w:hint="eastAsia" w:asciiTheme="minorEastAsia" w:hAnsiTheme="minorEastAsia" w:eastAsiaTheme="minorEastAsia" w:cstheme="minorEastAsia"/>
          <w:color w:val="auto"/>
          <w:kern w:val="0"/>
          <w:sz w:val="24"/>
          <w:highlight w:val="none"/>
        </w:rPr>
      </w:pPr>
    </w:p>
    <w:p w14:paraId="55A2989A">
      <w:pPr>
        <w:spacing w:line="360" w:lineRule="auto"/>
        <w:ind w:firstLine="480" w:firstLineChars="200"/>
        <w:rPr>
          <w:rFonts w:hint="eastAsia" w:asciiTheme="minorEastAsia" w:hAnsiTheme="minorEastAsia" w:eastAsiaTheme="minorEastAsia" w:cstheme="minorEastAsia"/>
          <w:color w:val="auto"/>
          <w:kern w:val="0"/>
          <w:sz w:val="24"/>
          <w:highlight w:val="none"/>
          <w:lang w:eastAsia="zh-CN"/>
        </w:rPr>
      </w:pPr>
      <w:r>
        <w:rPr>
          <w:rFonts w:hint="eastAsia" w:asciiTheme="minorEastAsia" w:hAnsiTheme="minorEastAsia" w:eastAsiaTheme="minorEastAsia" w:cstheme="minorEastAsia"/>
          <w:color w:val="auto"/>
          <w:kern w:val="0"/>
          <w:sz w:val="24"/>
          <w:highlight w:val="none"/>
        </w:rPr>
        <w:t>法人代表或授权代表（签名）：</w:t>
      </w:r>
    </w:p>
    <w:p w14:paraId="073BE590">
      <w:pPr>
        <w:spacing w:line="360" w:lineRule="auto"/>
        <w:ind w:firstLine="480" w:firstLineChars="200"/>
        <w:rPr>
          <w:rFonts w:hint="eastAsia" w:asciiTheme="minorEastAsia" w:hAnsiTheme="minorEastAsia" w:eastAsiaTheme="minorEastAsia" w:cstheme="minorEastAsia"/>
          <w:color w:val="auto"/>
          <w:kern w:val="0"/>
          <w:sz w:val="24"/>
          <w:highlight w:val="none"/>
          <w:lang w:eastAsia="zh-CN"/>
        </w:rPr>
      </w:pPr>
      <w:r>
        <w:rPr>
          <w:rFonts w:hint="eastAsia" w:asciiTheme="minorEastAsia" w:hAnsiTheme="minorEastAsia" w:eastAsiaTheme="minorEastAsia" w:cstheme="minorEastAsia"/>
          <w:color w:val="auto"/>
          <w:kern w:val="0"/>
          <w:sz w:val="24"/>
          <w:highlight w:val="none"/>
        </w:rPr>
        <w:t>法人代表或授权代表联系电话：</w:t>
      </w:r>
    </w:p>
    <w:p w14:paraId="77F13CB4">
      <w:pPr>
        <w:pStyle w:val="5"/>
        <w:rPr>
          <w:rFonts w:hint="eastAsia" w:asciiTheme="minorEastAsia" w:hAnsiTheme="minorEastAsia" w:eastAsiaTheme="minorEastAsia" w:cstheme="minorEastAsia"/>
          <w:color w:val="auto"/>
          <w:sz w:val="24"/>
          <w:highlight w:val="none"/>
        </w:rPr>
      </w:pPr>
    </w:p>
    <w:p w14:paraId="26FF751E">
      <w:pPr>
        <w:pStyle w:val="6"/>
        <w:rPr>
          <w:rFonts w:hint="eastAsia" w:asciiTheme="minorEastAsia" w:hAnsiTheme="minorEastAsia" w:eastAsiaTheme="minorEastAsia" w:cstheme="minorEastAsia"/>
          <w:color w:val="auto"/>
          <w:highlight w:val="none"/>
        </w:rPr>
      </w:pPr>
    </w:p>
    <w:p w14:paraId="3EF0639A">
      <w:pPr>
        <w:spacing w:line="360" w:lineRule="auto"/>
        <w:ind w:right="600" w:firstLine="480" w:firstLineChars="200"/>
        <w:jc w:val="center"/>
        <w:rPr>
          <w:rFonts w:hint="eastAsia" w:asciiTheme="minorEastAsia" w:hAnsiTheme="minorEastAsia" w:eastAsiaTheme="minorEastAsia" w:cstheme="minorEastAsia"/>
          <w:color w:val="auto"/>
          <w:kern w:val="0"/>
          <w:sz w:val="24"/>
          <w:highlight w:val="none"/>
          <w:lang w:eastAsia="zh-CN"/>
        </w:rPr>
      </w:pPr>
      <w:r>
        <w:rPr>
          <w:rFonts w:hint="eastAsia" w:asciiTheme="minorEastAsia" w:hAnsiTheme="minorEastAsia" w:eastAsiaTheme="minorEastAsia" w:cstheme="minorEastAsia"/>
          <w:color w:val="auto"/>
          <w:kern w:val="0"/>
          <w:sz w:val="24"/>
          <w:highlight w:val="none"/>
        </w:rPr>
        <w:t>供应商（公章）：</w:t>
      </w:r>
    </w:p>
    <w:p w14:paraId="4A425912">
      <w:pPr>
        <w:spacing w:line="360" w:lineRule="auto"/>
        <w:ind w:right="480" w:firstLine="6000" w:firstLineChars="2500"/>
        <w:rPr>
          <w:rFonts w:hint="eastAsia" w:asciiTheme="minorEastAsia" w:hAnsiTheme="minorEastAsia" w:eastAsiaTheme="minorEastAsia" w:cstheme="minorEastAsia"/>
          <w:b/>
          <w:color w:val="auto"/>
          <w:kern w:val="0"/>
          <w:szCs w:val="21"/>
          <w:highlight w:val="none"/>
          <w:lang w:eastAsia="zh-CN"/>
        </w:rPr>
      </w:pPr>
      <w:r>
        <w:rPr>
          <w:rFonts w:hint="eastAsia" w:asciiTheme="minorEastAsia" w:hAnsiTheme="minorEastAsia" w:eastAsiaTheme="minorEastAsia" w:cstheme="minorEastAsia"/>
          <w:color w:val="auto"/>
          <w:kern w:val="0"/>
          <w:sz w:val="24"/>
          <w:highlight w:val="none"/>
        </w:rPr>
        <w:t>年月日</w:t>
      </w:r>
    </w:p>
    <w:p w14:paraId="7B725CDD">
      <w:pPr>
        <w:rPr>
          <w:rFonts w:hint="eastAsia" w:asciiTheme="minorEastAsia" w:hAnsiTheme="minorEastAsia" w:eastAsiaTheme="minorEastAsia" w:cstheme="minorEastAsia"/>
          <w:color w:val="auto"/>
          <w:highlight w:val="none"/>
        </w:rPr>
      </w:pPr>
    </w:p>
    <w:p w14:paraId="392EAEFF">
      <w:pPr>
        <w:rPr>
          <w:rFonts w:hint="eastAsia" w:asciiTheme="minorEastAsia" w:hAnsiTheme="minorEastAsia" w:eastAsiaTheme="minorEastAsia" w:cstheme="minorEastAsia"/>
          <w:b/>
          <w:bCs/>
          <w:color w:val="auto"/>
          <w:highlight w:val="none"/>
        </w:rPr>
      </w:pPr>
    </w:p>
    <w:p w14:paraId="152947EF">
      <w:pPr>
        <w:ind w:firstLine="422" w:firstLineChars="200"/>
        <w:rPr>
          <w:rFonts w:hint="eastAsia"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highlight w:val="none"/>
        </w:rPr>
        <w:t>注：此报价单报价现场填写，另行封装并先加盖好供应商公章。</w:t>
      </w:r>
    </w:p>
    <w:p w14:paraId="0DF90BEF">
      <w:pPr>
        <w:pStyle w:val="13"/>
        <w:widowControl/>
        <w:spacing w:before="60" w:beforeAutospacing="0" w:after="60" w:afterAutospacing="0"/>
        <w:rPr>
          <w:rFonts w:hint="eastAsia" w:asciiTheme="minorEastAsia" w:hAnsiTheme="minorEastAsia" w:eastAsiaTheme="minorEastAsia" w:cstheme="minorEastAsia"/>
          <w:color w:val="auto"/>
          <w:kern w:val="2"/>
          <w:highlight w:val="none"/>
        </w:rPr>
      </w:pPr>
    </w:p>
    <w:p w14:paraId="1361F78C">
      <w:pPr>
        <w:pStyle w:val="13"/>
        <w:widowControl/>
        <w:spacing w:before="60" w:beforeAutospacing="0" w:after="60" w:afterAutospacing="0"/>
        <w:rPr>
          <w:rFonts w:hint="eastAsia" w:asciiTheme="minorEastAsia" w:hAnsiTheme="minorEastAsia" w:eastAsiaTheme="minorEastAsia" w:cstheme="minorEastAsia"/>
          <w:color w:val="auto"/>
          <w:sz w:val="19"/>
          <w:szCs w:val="19"/>
          <w:highlight w:val="none"/>
        </w:rPr>
      </w:pPr>
    </w:p>
    <w:p w14:paraId="7E1E4968">
      <w:pPr>
        <w:pStyle w:val="13"/>
        <w:widowControl/>
        <w:spacing w:before="60" w:beforeAutospacing="0" w:after="60" w:afterAutospacing="0"/>
        <w:rPr>
          <w:rFonts w:hint="eastAsia" w:asciiTheme="minorEastAsia" w:hAnsiTheme="minorEastAsia" w:eastAsiaTheme="minorEastAsia" w:cstheme="minorEastAsia"/>
          <w:color w:val="auto"/>
          <w:sz w:val="19"/>
          <w:szCs w:val="19"/>
          <w:highlight w:val="none"/>
        </w:rPr>
      </w:pPr>
    </w:p>
    <w:p w14:paraId="2FC89072">
      <w:pPr>
        <w:pStyle w:val="13"/>
        <w:widowControl/>
        <w:spacing w:before="60" w:beforeAutospacing="0" w:after="60" w:afterAutospacing="0"/>
        <w:rPr>
          <w:rFonts w:hint="eastAsia" w:asciiTheme="minorEastAsia" w:hAnsiTheme="minorEastAsia" w:eastAsiaTheme="minorEastAsia" w:cstheme="minorEastAsia"/>
          <w:color w:val="auto"/>
          <w:sz w:val="19"/>
          <w:szCs w:val="19"/>
          <w:highlight w:val="none"/>
        </w:rPr>
      </w:pPr>
    </w:p>
    <w:p w14:paraId="2F684D7A">
      <w:pPr>
        <w:pStyle w:val="13"/>
        <w:widowControl/>
        <w:spacing w:before="60" w:beforeAutospacing="0" w:after="60" w:afterAutospacing="0"/>
        <w:rPr>
          <w:rFonts w:hint="eastAsia" w:asciiTheme="minorEastAsia" w:hAnsiTheme="minorEastAsia" w:eastAsiaTheme="minorEastAsia" w:cstheme="minorEastAsia"/>
          <w:color w:val="auto"/>
          <w:sz w:val="19"/>
          <w:szCs w:val="19"/>
          <w:highlight w:val="none"/>
        </w:rPr>
      </w:pPr>
    </w:p>
    <w:p w14:paraId="5E34B5FF">
      <w:pPr>
        <w:pStyle w:val="13"/>
        <w:widowControl/>
        <w:spacing w:before="60" w:beforeAutospacing="0" w:after="60" w:afterAutospacing="0"/>
        <w:rPr>
          <w:rFonts w:hint="eastAsia" w:asciiTheme="minorEastAsia" w:hAnsiTheme="minorEastAsia" w:eastAsiaTheme="minorEastAsia" w:cstheme="minorEastAsia"/>
          <w:strike/>
          <w:dstrike w:val="0"/>
          <w:color w:val="auto"/>
          <w:kern w:val="2"/>
          <w:sz w:val="24"/>
          <w:szCs w:val="24"/>
          <w:highlight w:val="none"/>
          <w:lang w:val="en-US" w:eastAsia="zh-CN" w:bidi="ar-SA"/>
        </w:rPr>
      </w:pPr>
    </w:p>
    <w:sectPr>
      <w:pgSz w:w="11906" w:h="16838"/>
      <w:pgMar w:top="1247" w:right="924" w:bottom="1088" w:left="1259"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Narrow">
    <w:altName w:val="Arial"/>
    <w:panose1 w:val="020B0606020202030204"/>
    <w:charset w:val="00"/>
    <w:family w:val="swiss"/>
    <w:pitch w:val="default"/>
    <w:sig w:usb0="00000000" w:usb1="00000000" w:usb2="00000000" w:usb3="00000000" w:csb0="2000009F" w:csb1="DFD70000"/>
  </w:font>
  <w:font w:name="Consolas">
    <w:panose1 w:val="020B0609020204030204"/>
    <w:charset w:val="00"/>
    <w:family w:val="auto"/>
    <w:pitch w:val="default"/>
    <w:sig w:usb0="E00006FF" w:usb1="0000FCFF" w:usb2="00000001" w:usb3="00000000" w:csb0="600001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C2707">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A7CC85">
                          <w:pPr>
                            <w:pStyle w:val="12"/>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78A7CC85">
                    <w:pPr>
                      <w:pStyle w:val="12"/>
                      <w:rPr>
                        <w:rFonts w:hint="eastAsia"/>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NmZGYzMzZkM2M1MTI1NDkzMDQ5NGMyOTRmMDUwOGYifQ=="/>
  </w:docVars>
  <w:rsids>
    <w:rsidRoot w:val="00E733B5"/>
    <w:rsid w:val="0011161B"/>
    <w:rsid w:val="00203560"/>
    <w:rsid w:val="002D3947"/>
    <w:rsid w:val="002F3E2C"/>
    <w:rsid w:val="00340452"/>
    <w:rsid w:val="003A37E3"/>
    <w:rsid w:val="004A2522"/>
    <w:rsid w:val="00630964"/>
    <w:rsid w:val="0064639A"/>
    <w:rsid w:val="007B129F"/>
    <w:rsid w:val="007C0EB2"/>
    <w:rsid w:val="0082312B"/>
    <w:rsid w:val="00863D81"/>
    <w:rsid w:val="008876A5"/>
    <w:rsid w:val="00893CAD"/>
    <w:rsid w:val="008D186A"/>
    <w:rsid w:val="00E733B5"/>
    <w:rsid w:val="012D0479"/>
    <w:rsid w:val="029B7B91"/>
    <w:rsid w:val="02E632CE"/>
    <w:rsid w:val="02EE59E6"/>
    <w:rsid w:val="02F254D6"/>
    <w:rsid w:val="031902B8"/>
    <w:rsid w:val="03767EB5"/>
    <w:rsid w:val="04031943"/>
    <w:rsid w:val="046917C8"/>
    <w:rsid w:val="047563BF"/>
    <w:rsid w:val="04860156"/>
    <w:rsid w:val="048F14A4"/>
    <w:rsid w:val="04CB4231"/>
    <w:rsid w:val="04D875BD"/>
    <w:rsid w:val="0532605E"/>
    <w:rsid w:val="056F6570"/>
    <w:rsid w:val="059674AE"/>
    <w:rsid w:val="05BB511F"/>
    <w:rsid w:val="05CB35BA"/>
    <w:rsid w:val="05D2339D"/>
    <w:rsid w:val="068C1F05"/>
    <w:rsid w:val="06C13B3D"/>
    <w:rsid w:val="06EA4BF0"/>
    <w:rsid w:val="07716BA5"/>
    <w:rsid w:val="077B5B97"/>
    <w:rsid w:val="07A42F82"/>
    <w:rsid w:val="07A6454A"/>
    <w:rsid w:val="07AE287F"/>
    <w:rsid w:val="07F43A9E"/>
    <w:rsid w:val="082C1F45"/>
    <w:rsid w:val="08AC4538"/>
    <w:rsid w:val="08F16230"/>
    <w:rsid w:val="08F569AC"/>
    <w:rsid w:val="09385C0D"/>
    <w:rsid w:val="09C71698"/>
    <w:rsid w:val="0A194F9C"/>
    <w:rsid w:val="0AF02C43"/>
    <w:rsid w:val="0AF875AA"/>
    <w:rsid w:val="0B3058AA"/>
    <w:rsid w:val="0C291770"/>
    <w:rsid w:val="0D004C93"/>
    <w:rsid w:val="0D197B03"/>
    <w:rsid w:val="0D426078"/>
    <w:rsid w:val="0D9378B6"/>
    <w:rsid w:val="0DA908C6"/>
    <w:rsid w:val="0DC343D2"/>
    <w:rsid w:val="0DE50F66"/>
    <w:rsid w:val="0E197DBB"/>
    <w:rsid w:val="0E920758"/>
    <w:rsid w:val="0E9D0085"/>
    <w:rsid w:val="0EAF238B"/>
    <w:rsid w:val="0F187612"/>
    <w:rsid w:val="0F385F28"/>
    <w:rsid w:val="0F670F1E"/>
    <w:rsid w:val="0F6B08A1"/>
    <w:rsid w:val="0FAC2EB1"/>
    <w:rsid w:val="0FB3423F"/>
    <w:rsid w:val="0FFC3E38"/>
    <w:rsid w:val="10294501"/>
    <w:rsid w:val="10703940"/>
    <w:rsid w:val="109A0F5B"/>
    <w:rsid w:val="10EA519D"/>
    <w:rsid w:val="11560AFF"/>
    <w:rsid w:val="11576580"/>
    <w:rsid w:val="11736E48"/>
    <w:rsid w:val="1249138C"/>
    <w:rsid w:val="125F726F"/>
    <w:rsid w:val="12A3059B"/>
    <w:rsid w:val="1319260B"/>
    <w:rsid w:val="13620555"/>
    <w:rsid w:val="137361BF"/>
    <w:rsid w:val="13764EFB"/>
    <w:rsid w:val="138163C4"/>
    <w:rsid w:val="13F74691"/>
    <w:rsid w:val="14504752"/>
    <w:rsid w:val="14506500"/>
    <w:rsid w:val="14784E69"/>
    <w:rsid w:val="14AA20B4"/>
    <w:rsid w:val="14C116E2"/>
    <w:rsid w:val="153E0A4F"/>
    <w:rsid w:val="154D2A40"/>
    <w:rsid w:val="15525481"/>
    <w:rsid w:val="157E6CC6"/>
    <w:rsid w:val="15BE1663"/>
    <w:rsid w:val="15D54412"/>
    <w:rsid w:val="15E213DA"/>
    <w:rsid w:val="16041350"/>
    <w:rsid w:val="16077093"/>
    <w:rsid w:val="16781D3E"/>
    <w:rsid w:val="16941A2E"/>
    <w:rsid w:val="174056DB"/>
    <w:rsid w:val="176F442A"/>
    <w:rsid w:val="1775586B"/>
    <w:rsid w:val="17945A73"/>
    <w:rsid w:val="17A85EFB"/>
    <w:rsid w:val="17F751E7"/>
    <w:rsid w:val="181C2A9C"/>
    <w:rsid w:val="181C63C3"/>
    <w:rsid w:val="18552337"/>
    <w:rsid w:val="18DA73CB"/>
    <w:rsid w:val="193B5C7A"/>
    <w:rsid w:val="198514B7"/>
    <w:rsid w:val="19882298"/>
    <w:rsid w:val="19C043DC"/>
    <w:rsid w:val="19EB7294"/>
    <w:rsid w:val="19EE3DD8"/>
    <w:rsid w:val="1A204D39"/>
    <w:rsid w:val="1A4D6040"/>
    <w:rsid w:val="1A5241C5"/>
    <w:rsid w:val="1AA3373F"/>
    <w:rsid w:val="1AE70ACE"/>
    <w:rsid w:val="1B304996"/>
    <w:rsid w:val="1BBD09CD"/>
    <w:rsid w:val="1BF34341"/>
    <w:rsid w:val="1C6611C3"/>
    <w:rsid w:val="1C964CCC"/>
    <w:rsid w:val="1D150484"/>
    <w:rsid w:val="1D6310DE"/>
    <w:rsid w:val="1D7E5E8C"/>
    <w:rsid w:val="1DC501BC"/>
    <w:rsid w:val="1DCD50BD"/>
    <w:rsid w:val="1E4946EC"/>
    <w:rsid w:val="1EA86D03"/>
    <w:rsid w:val="1EE927AE"/>
    <w:rsid w:val="1F194DC3"/>
    <w:rsid w:val="1F264A2D"/>
    <w:rsid w:val="1F3031B6"/>
    <w:rsid w:val="1F6309B5"/>
    <w:rsid w:val="1F9C6A9E"/>
    <w:rsid w:val="1FCC2F8A"/>
    <w:rsid w:val="20535D23"/>
    <w:rsid w:val="20542AE4"/>
    <w:rsid w:val="20727346"/>
    <w:rsid w:val="20E03718"/>
    <w:rsid w:val="210E7DC4"/>
    <w:rsid w:val="2112799F"/>
    <w:rsid w:val="212E5E1B"/>
    <w:rsid w:val="21CC31CC"/>
    <w:rsid w:val="21EC126E"/>
    <w:rsid w:val="21F41496"/>
    <w:rsid w:val="222A54F5"/>
    <w:rsid w:val="22E2188A"/>
    <w:rsid w:val="23324671"/>
    <w:rsid w:val="239301B8"/>
    <w:rsid w:val="23D83E1C"/>
    <w:rsid w:val="23DC4779"/>
    <w:rsid w:val="23FF584D"/>
    <w:rsid w:val="240450C1"/>
    <w:rsid w:val="242F51F8"/>
    <w:rsid w:val="243F0E45"/>
    <w:rsid w:val="247E30EF"/>
    <w:rsid w:val="247E6772"/>
    <w:rsid w:val="2490671B"/>
    <w:rsid w:val="24C22608"/>
    <w:rsid w:val="24DD793C"/>
    <w:rsid w:val="24E0567E"/>
    <w:rsid w:val="25150BF8"/>
    <w:rsid w:val="2568069B"/>
    <w:rsid w:val="25C70488"/>
    <w:rsid w:val="25EC479E"/>
    <w:rsid w:val="26257293"/>
    <w:rsid w:val="26BD0CBA"/>
    <w:rsid w:val="2729330D"/>
    <w:rsid w:val="27691782"/>
    <w:rsid w:val="27B30E28"/>
    <w:rsid w:val="27B8502F"/>
    <w:rsid w:val="27BE091C"/>
    <w:rsid w:val="28036860"/>
    <w:rsid w:val="28C055AB"/>
    <w:rsid w:val="28E666CB"/>
    <w:rsid w:val="2968184F"/>
    <w:rsid w:val="29E96869"/>
    <w:rsid w:val="2A07545B"/>
    <w:rsid w:val="2A0B4CC0"/>
    <w:rsid w:val="2A574EB4"/>
    <w:rsid w:val="2A641058"/>
    <w:rsid w:val="2AA44CF4"/>
    <w:rsid w:val="2B873D9F"/>
    <w:rsid w:val="2BC87CAC"/>
    <w:rsid w:val="2C7C45F5"/>
    <w:rsid w:val="2CC808CC"/>
    <w:rsid w:val="2D0363AE"/>
    <w:rsid w:val="2D8F46CF"/>
    <w:rsid w:val="2DB674A4"/>
    <w:rsid w:val="2DC34BA9"/>
    <w:rsid w:val="2DD218DC"/>
    <w:rsid w:val="2E3D58F0"/>
    <w:rsid w:val="2E693C94"/>
    <w:rsid w:val="2E8539F8"/>
    <w:rsid w:val="2EC67BCD"/>
    <w:rsid w:val="2EEB70FA"/>
    <w:rsid w:val="2F287F13"/>
    <w:rsid w:val="2F317EC9"/>
    <w:rsid w:val="2F5349A7"/>
    <w:rsid w:val="2F82362D"/>
    <w:rsid w:val="2F836E54"/>
    <w:rsid w:val="2F884949"/>
    <w:rsid w:val="2FAB1D82"/>
    <w:rsid w:val="2FD147AA"/>
    <w:rsid w:val="2FFF25E3"/>
    <w:rsid w:val="301B57BD"/>
    <w:rsid w:val="303D06DE"/>
    <w:rsid w:val="30983CE8"/>
    <w:rsid w:val="311D7D6E"/>
    <w:rsid w:val="314B20D2"/>
    <w:rsid w:val="318A3349"/>
    <w:rsid w:val="31BE0AF5"/>
    <w:rsid w:val="32270449"/>
    <w:rsid w:val="322F37A1"/>
    <w:rsid w:val="325D20A2"/>
    <w:rsid w:val="3380545E"/>
    <w:rsid w:val="33815A63"/>
    <w:rsid w:val="33BB5D36"/>
    <w:rsid w:val="33D305A9"/>
    <w:rsid w:val="33DE56E7"/>
    <w:rsid w:val="34360E17"/>
    <w:rsid w:val="34907662"/>
    <w:rsid w:val="34A67786"/>
    <w:rsid w:val="3533589D"/>
    <w:rsid w:val="35637D60"/>
    <w:rsid w:val="35690D78"/>
    <w:rsid w:val="35703BE5"/>
    <w:rsid w:val="359009FB"/>
    <w:rsid w:val="35E96975"/>
    <w:rsid w:val="361A6917"/>
    <w:rsid w:val="363B0FA5"/>
    <w:rsid w:val="36742958"/>
    <w:rsid w:val="36A97EF0"/>
    <w:rsid w:val="36BD5820"/>
    <w:rsid w:val="36D82B86"/>
    <w:rsid w:val="36FD45D0"/>
    <w:rsid w:val="379808BE"/>
    <w:rsid w:val="37A75B88"/>
    <w:rsid w:val="38307621"/>
    <w:rsid w:val="384C177A"/>
    <w:rsid w:val="38526AFA"/>
    <w:rsid w:val="38833DC6"/>
    <w:rsid w:val="38CA5FD2"/>
    <w:rsid w:val="393C6ED0"/>
    <w:rsid w:val="39630EB6"/>
    <w:rsid w:val="39BD06E4"/>
    <w:rsid w:val="39BD3BD5"/>
    <w:rsid w:val="39BF18AF"/>
    <w:rsid w:val="39DB43AB"/>
    <w:rsid w:val="3A79264A"/>
    <w:rsid w:val="3A7B57D6"/>
    <w:rsid w:val="3ACC2040"/>
    <w:rsid w:val="3AD9561B"/>
    <w:rsid w:val="3AE8273F"/>
    <w:rsid w:val="3B1112B0"/>
    <w:rsid w:val="3B4053C6"/>
    <w:rsid w:val="3B646A78"/>
    <w:rsid w:val="3BD06EB9"/>
    <w:rsid w:val="3BD87160"/>
    <w:rsid w:val="3C0637C5"/>
    <w:rsid w:val="3C297AE3"/>
    <w:rsid w:val="3C771FCD"/>
    <w:rsid w:val="3C931AB4"/>
    <w:rsid w:val="3C947ED8"/>
    <w:rsid w:val="3CB14A6D"/>
    <w:rsid w:val="3CEE49CD"/>
    <w:rsid w:val="3CFB49AC"/>
    <w:rsid w:val="3D9D7763"/>
    <w:rsid w:val="3E864749"/>
    <w:rsid w:val="3E8C7BAC"/>
    <w:rsid w:val="3EE37DED"/>
    <w:rsid w:val="3EF73899"/>
    <w:rsid w:val="3F1405C2"/>
    <w:rsid w:val="3F497A4C"/>
    <w:rsid w:val="3FEF05AA"/>
    <w:rsid w:val="403F72A5"/>
    <w:rsid w:val="408B4299"/>
    <w:rsid w:val="409C6464"/>
    <w:rsid w:val="409F4F7F"/>
    <w:rsid w:val="40BA23B0"/>
    <w:rsid w:val="40F956A6"/>
    <w:rsid w:val="411918A4"/>
    <w:rsid w:val="41801923"/>
    <w:rsid w:val="418F522B"/>
    <w:rsid w:val="421F3F3F"/>
    <w:rsid w:val="42271D7F"/>
    <w:rsid w:val="423D072A"/>
    <w:rsid w:val="42426CB5"/>
    <w:rsid w:val="42530BA3"/>
    <w:rsid w:val="42736132"/>
    <w:rsid w:val="42D9753D"/>
    <w:rsid w:val="430A1DED"/>
    <w:rsid w:val="43506E29"/>
    <w:rsid w:val="435C1F1C"/>
    <w:rsid w:val="437744BA"/>
    <w:rsid w:val="43EE3159"/>
    <w:rsid w:val="44991D93"/>
    <w:rsid w:val="44BA15F0"/>
    <w:rsid w:val="44C54036"/>
    <w:rsid w:val="44D0697F"/>
    <w:rsid w:val="44FB67ED"/>
    <w:rsid w:val="45100476"/>
    <w:rsid w:val="45525385"/>
    <w:rsid w:val="45723C79"/>
    <w:rsid w:val="46016203"/>
    <w:rsid w:val="4691012F"/>
    <w:rsid w:val="469354D9"/>
    <w:rsid w:val="46957C1F"/>
    <w:rsid w:val="46973CA7"/>
    <w:rsid w:val="47503B46"/>
    <w:rsid w:val="476122A5"/>
    <w:rsid w:val="47B42B37"/>
    <w:rsid w:val="47C351B9"/>
    <w:rsid w:val="482D4FEA"/>
    <w:rsid w:val="48337368"/>
    <w:rsid w:val="485F1D20"/>
    <w:rsid w:val="4868018B"/>
    <w:rsid w:val="49284D7B"/>
    <w:rsid w:val="49B77EAC"/>
    <w:rsid w:val="49D10608"/>
    <w:rsid w:val="49E04914"/>
    <w:rsid w:val="4A4451E0"/>
    <w:rsid w:val="4A4F11E1"/>
    <w:rsid w:val="4A63391D"/>
    <w:rsid w:val="4A804742"/>
    <w:rsid w:val="4A9A2274"/>
    <w:rsid w:val="4ACA407F"/>
    <w:rsid w:val="4B3F63AB"/>
    <w:rsid w:val="4B9F6D47"/>
    <w:rsid w:val="4BA97FB1"/>
    <w:rsid w:val="4C207A5C"/>
    <w:rsid w:val="4C435792"/>
    <w:rsid w:val="4D502460"/>
    <w:rsid w:val="4D50664E"/>
    <w:rsid w:val="4D824849"/>
    <w:rsid w:val="4D923AB3"/>
    <w:rsid w:val="4D9D111B"/>
    <w:rsid w:val="4E5E19A2"/>
    <w:rsid w:val="4E605A50"/>
    <w:rsid w:val="4EA81D39"/>
    <w:rsid w:val="4EB03C45"/>
    <w:rsid w:val="4F422F9F"/>
    <w:rsid w:val="4F553BC9"/>
    <w:rsid w:val="4F5D7F74"/>
    <w:rsid w:val="4F9A62A6"/>
    <w:rsid w:val="4FE109BC"/>
    <w:rsid w:val="507C01AF"/>
    <w:rsid w:val="50991720"/>
    <w:rsid w:val="50B47F5E"/>
    <w:rsid w:val="50B71FDC"/>
    <w:rsid w:val="50DE48E3"/>
    <w:rsid w:val="511D7A62"/>
    <w:rsid w:val="5177452E"/>
    <w:rsid w:val="51CB6BEB"/>
    <w:rsid w:val="51E905ED"/>
    <w:rsid w:val="522A7C46"/>
    <w:rsid w:val="5239223E"/>
    <w:rsid w:val="52802891"/>
    <w:rsid w:val="52AB4326"/>
    <w:rsid w:val="533A1CAC"/>
    <w:rsid w:val="538E7ED0"/>
    <w:rsid w:val="53C05B16"/>
    <w:rsid w:val="54F94081"/>
    <w:rsid w:val="55165D02"/>
    <w:rsid w:val="551D7E8F"/>
    <w:rsid w:val="553C5017"/>
    <w:rsid w:val="55695E69"/>
    <w:rsid w:val="557155A6"/>
    <w:rsid w:val="55B81234"/>
    <w:rsid w:val="55C73B6D"/>
    <w:rsid w:val="55F60C0B"/>
    <w:rsid w:val="55F935FB"/>
    <w:rsid w:val="564C5E20"/>
    <w:rsid w:val="56BF02CB"/>
    <w:rsid w:val="57120E18"/>
    <w:rsid w:val="57347DAF"/>
    <w:rsid w:val="577D0FEB"/>
    <w:rsid w:val="57897417"/>
    <w:rsid w:val="57B85C9B"/>
    <w:rsid w:val="57BC3EBC"/>
    <w:rsid w:val="57CC2F3A"/>
    <w:rsid w:val="57F46714"/>
    <w:rsid w:val="58075E79"/>
    <w:rsid w:val="58450578"/>
    <w:rsid w:val="588E44CE"/>
    <w:rsid w:val="58AF6A20"/>
    <w:rsid w:val="58C11F75"/>
    <w:rsid w:val="58EB59E5"/>
    <w:rsid w:val="590C2B5B"/>
    <w:rsid w:val="592750D8"/>
    <w:rsid w:val="59647619"/>
    <w:rsid w:val="599E0097"/>
    <w:rsid w:val="5A096502"/>
    <w:rsid w:val="5A0D1305"/>
    <w:rsid w:val="5A4E7785"/>
    <w:rsid w:val="5A9164F8"/>
    <w:rsid w:val="5AA911B6"/>
    <w:rsid w:val="5AB3021C"/>
    <w:rsid w:val="5B4842B8"/>
    <w:rsid w:val="5B562470"/>
    <w:rsid w:val="5BB32FF8"/>
    <w:rsid w:val="5BF27AD0"/>
    <w:rsid w:val="5C3619CC"/>
    <w:rsid w:val="5C763BF7"/>
    <w:rsid w:val="5C933450"/>
    <w:rsid w:val="5CA12D70"/>
    <w:rsid w:val="5CBC0BB0"/>
    <w:rsid w:val="5CC44962"/>
    <w:rsid w:val="5CE4088C"/>
    <w:rsid w:val="5CF01DC2"/>
    <w:rsid w:val="5CFD7E74"/>
    <w:rsid w:val="5D11056B"/>
    <w:rsid w:val="5D126F71"/>
    <w:rsid w:val="5D2B65A0"/>
    <w:rsid w:val="5D3C3B0E"/>
    <w:rsid w:val="5D6F2B20"/>
    <w:rsid w:val="5D7003B5"/>
    <w:rsid w:val="5D7243BE"/>
    <w:rsid w:val="5E0F303A"/>
    <w:rsid w:val="5E48511F"/>
    <w:rsid w:val="5E4D440A"/>
    <w:rsid w:val="5EAA353D"/>
    <w:rsid w:val="5F0E5827"/>
    <w:rsid w:val="5F44764D"/>
    <w:rsid w:val="5FEB5A5C"/>
    <w:rsid w:val="5FF05A6E"/>
    <w:rsid w:val="5FF96C37"/>
    <w:rsid w:val="603718EF"/>
    <w:rsid w:val="6042276E"/>
    <w:rsid w:val="607A047B"/>
    <w:rsid w:val="611D2893"/>
    <w:rsid w:val="61350FCA"/>
    <w:rsid w:val="613F6CAD"/>
    <w:rsid w:val="61CF7201"/>
    <w:rsid w:val="620C19A8"/>
    <w:rsid w:val="62A50D92"/>
    <w:rsid w:val="633A04D8"/>
    <w:rsid w:val="636B5B38"/>
    <w:rsid w:val="63AD6150"/>
    <w:rsid w:val="64487C27"/>
    <w:rsid w:val="64813139"/>
    <w:rsid w:val="64F15C1C"/>
    <w:rsid w:val="65006754"/>
    <w:rsid w:val="6509385A"/>
    <w:rsid w:val="65143FAD"/>
    <w:rsid w:val="65352948"/>
    <w:rsid w:val="654B3155"/>
    <w:rsid w:val="65DC2D1D"/>
    <w:rsid w:val="65E22FB0"/>
    <w:rsid w:val="66662834"/>
    <w:rsid w:val="66A650D9"/>
    <w:rsid w:val="66A9245F"/>
    <w:rsid w:val="671565D1"/>
    <w:rsid w:val="67220C03"/>
    <w:rsid w:val="672F27E3"/>
    <w:rsid w:val="67897F92"/>
    <w:rsid w:val="67A07D7A"/>
    <w:rsid w:val="67D30150"/>
    <w:rsid w:val="67E53D5E"/>
    <w:rsid w:val="680F0E45"/>
    <w:rsid w:val="685A568A"/>
    <w:rsid w:val="68824391"/>
    <w:rsid w:val="68AD09A1"/>
    <w:rsid w:val="68C83A2C"/>
    <w:rsid w:val="68C83AFF"/>
    <w:rsid w:val="69233008"/>
    <w:rsid w:val="69706B2F"/>
    <w:rsid w:val="69845BA5"/>
    <w:rsid w:val="699B6A4B"/>
    <w:rsid w:val="6A3C6480"/>
    <w:rsid w:val="6A507336"/>
    <w:rsid w:val="6A6257BB"/>
    <w:rsid w:val="6AFB12A0"/>
    <w:rsid w:val="6B480E16"/>
    <w:rsid w:val="6BE05DF8"/>
    <w:rsid w:val="6C032046"/>
    <w:rsid w:val="6C240385"/>
    <w:rsid w:val="6C2947C8"/>
    <w:rsid w:val="6CE53DA2"/>
    <w:rsid w:val="6D3950D5"/>
    <w:rsid w:val="6D3B3C7C"/>
    <w:rsid w:val="6D4D4500"/>
    <w:rsid w:val="6D986253"/>
    <w:rsid w:val="6DC722A2"/>
    <w:rsid w:val="6DEA7CF8"/>
    <w:rsid w:val="6E101FDB"/>
    <w:rsid w:val="6E3D27EA"/>
    <w:rsid w:val="6E4A13B2"/>
    <w:rsid w:val="6E5D7A70"/>
    <w:rsid w:val="6E697118"/>
    <w:rsid w:val="6E6B1269"/>
    <w:rsid w:val="6E8028BC"/>
    <w:rsid w:val="6E924415"/>
    <w:rsid w:val="6EA10858"/>
    <w:rsid w:val="6EF415C9"/>
    <w:rsid w:val="6EF5593E"/>
    <w:rsid w:val="6F7F4719"/>
    <w:rsid w:val="6F96218E"/>
    <w:rsid w:val="6FA10C0B"/>
    <w:rsid w:val="6FC00FB9"/>
    <w:rsid w:val="7012558D"/>
    <w:rsid w:val="70810710"/>
    <w:rsid w:val="70A45F91"/>
    <w:rsid w:val="70A576E6"/>
    <w:rsid w:val="71145A61"/>
    <w:rsid w:val="713F692F"/>
    <w:rsid w:val="715E0A8A"/>
    <w:rsid w:val="71B72C1D"/>
    <w:rsid w:val="728849DC"/>
    <w:rsid w:val="72A03324"/>
    <w:rsid w:val="72A252EE"/>
    <w:rsid w:val="73240B82"/>
    <w:rsid w:val="732F495E"/>
    <w:rsid w:val="73C179F6"/>
    <w:rsid w:val="73CB0283"/>
    <w:rsid w:val="740B0213"/>
    <w:rsid w:val="74BE7AB2"/>
    <w:rsid w:val="755C4C7B"/>
    <w:rsid w:val="75D13EDB"/>
    <w:rsid w:val="75E11C8A"/>
    <w:rsid w:val="762E1BFC"/>
    <w:rsid w:val="766A1C7F"/>
    <w:rsid w:val="76E3322D"/>
    <w:rsid w:val="76E355B4"/>
    <w:rsid w:val="76E724EA"/>
    <w:rsid w:val="76FA1495"/>
    <w:rsid w:val="7715608F"/>
    <w:rsid w:val="77260CE3"/>
    <w:rsid w:val="77626DFA"/>
    <w:rsid w:val="77D41FA7"/>
    <w:rsid w:val="77E7525D"/>
    <w:rsid w:val="77EF67F0"/>
    <w:rsid w:val="782D565A"/>
    <w:rsid w:val="784C2A94"/>
    <w:rsid w:val="78866B18"/>
    <w:rsid w:val="78E15420"/>
    <w:rsid w:val="79080CD5"/>
    <w:rsid w:val="7924040D"/>
    <w:rsid w:val="793A2F10"/>
    <w:rsid w:val="798062F1"/>
    <w:rsid w:val="7A2544C3"/>
    <w:rsid w:val="7A2B7977"/>
    <w:rsid w:val="7A306423"/>
    <w:rsid w:val="7A5944E4"/>
    <w:rsid w:val="7A772BBC"/>
    <w:rsid w:val="7AAA7324"/>
    <w:rsid w:val="7AE4072F"/>
    <w:rsid w:val="7B360CBE"/>
    <w:rsid w:val="7BD7220B"/>
    <w:rsid w:val="7BEB3862"/>
    <w:rsid w:val="7D5957B9"/>
    <w:rsid w:val="7D7E75CC"/>
    <w:rsid w:val="7DA261A2"/>
    <w:rsid w:val="7E674449"/>
    <w:rsid w:val="7E680085"/>
    <w:rsid w:val="7E7F0292"/>
    <w:rsid w:val="7EB937A4"/>
    <w:rsid w:val="7EF90044"/>
    <w:rsid w:val="7F8042C1"/>
    <w:rsid w:val="7FB27425"/>
    <w:rsid w:val="7FE9455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Normal Indent"/>
    <w:basedOn w:val="1"/>
    <w:next w:val="6"/>
    <w:qFormat/>
    <w:uiPriority w:val="0"/>
    <w:pPr>
      <w:adjustRightInd w:val="0"/>
      <w:spacing w:line="312" w:lineRule="atLeast"/>
      <w:ind w:firstLine="420"/>
      <w:textAlignment w:val="baseline"/>
    </w:pPr>
    <w:rPr>
      <w:kern w:val="0"/>
      <w:szCs w:val="20"/>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annotation text"/>
    <w:basedOn w:val="1"/>
    <w:link w:val="30"/>
    <w:qFormat/>
    <w:uiPriority w:val="0"/>
    <w:pPr>
      <w:jc w:val="left"/>
    </w:pPr>
  </w:style>
  <w:style w:type="paragraph" w:styleId="8">
    <w:name w:val="Body Text"/>
    <w:basedOn w:val="1"/>
    <w:qFormat/>
    <w:uiPriority w:val="0"/>
    <w:pPr>
      <w:spacing w:line="380" w:lineRule="exact"/>
    </w:pPr>
    <w:rPr>
      <w:sz w:val="24"/>
    </w:rPr>
  </w:style>
  <w:style w:type="paragraph" w:styleId="9">
    <w:name w:val="Body Text Indent"/>
    <w:basedOn w:val="1"/>
    <w:qFormat/>
    <w:uiPriority w:val="0"/>
    <w:pPr>
      <w:spacing w:after="120"/>
      <w:ind w:left="420" w:leftChars="200"/>
    </w:pPr>
  </w:style>
  <w:style w:type="paragraph" w:styleId="10">
    <w:name w:val="Plain Text"/>
    <w:basedOn w:val="1"/>
    <w:qFormat/>
    <w:uiPriority w:val="0"/>
    <w:rPr>
      <w:rFonts w:ascii="Arial Narrow" w:eastAsia="Arial Narrow"/>
      <w:szCs w:val="20"/>
    </w:rPr>
  </w:style>
  <w:style w:type="paragraph" w:styleId="11">
    <w:name w:val="Balloon Text"/>
    <w:basedOn w:val="1"/>
    <w:link w:val="31"/>
    <w:qFormat/>
    <w:uiPriority w:val="0"/>
    <w:rPr>
      <w:sz w:val="18"/>
      <w:szCs w:val="18"/>
    </w:rPr>
  </w:style>
  <w:style w:type="paragraph" w:styleId="12">
    <w:name w:val="footer"/>
    <w:basedOn w:val="1"/>
    <w:next w:val="1"/>
    <w:qFormat/>
    <w:uiPriority w:val="0"/>
    <w:pPr>
      <w:tabs>
        <w:tab w:val="center" w:pos="4153"/>
        <w:tab w:val="right" w:pos="8306"/>
      </w:tabs>
      <w:snapToGrid w:val="0"/>
      <w:jc w:val="left"/>
    </w:pPr>
    <w:rPr>
      <w:sz w:val="18"/>
    </w:rPr>
  </w:style>
  <w:style w:type="paragraph" w:styleId="1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4">
    <w:name w:val="annotation subject"/>
    <w:basedOn w:val="7"/>
    <w:next w:val="7"/>
    <w:link w:val="32"/>
    <w:qFormat/>
    <w:uiPriority w:val="0"/>
    <w:rPr>
      <w:b/>
      <w:bCs/>
    </w:rPr>
  </w:style>
  <w:style w:type="paragraph" w:styleId="15">
    <w:name w:val="Body Text First Indent 2"/>
    <w:basedOn w:val="9"/>
    <w:qFormat/>
    <w:uiPriority w:val="0"/>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bCs/>
      <w:sz w:val="27"/>
      <w:szCs w:val="27"/>
    </w:rPr>
  </w:style>
  <w:style w:type="character" w:styleId="20">
    <w:name w:val="FollowedHyperlink"/>
    <w:basedOn w:val="18"/>
    <w:qFormat/>
    <w:uiPriority w:val="0"/>
    <w:rPr>
      <w:color w:val="666666"/>
      <w:u w:val="none"/>
    </w:rPr>
  </w:style>
  <w:style w:type="character" w:styleId="21">
    <w:name w:val="Emphasis"/>
    <w:basedOn w:val="18"/>
    <w:qFormat/>
    <w:uiPriority w:val="0"/>
  </w:style>
  <w:style w:type="character" w:styleId="22">
    <w:name w:val="HTML Definition"/>
    <w:basedOn w:val="18"/>
    <w:qFormat/>
    <w:uiPriority w:val="0"/>
    <w:rPr>
      <w:i/>
      <w:iCs/>
    </w:rPr>
  </w:style>
  <w:style w:type="character" w:styleId="23">
    <w:name w:val="Hyperlink"/>
    <w:basedOn w:val="18"/>
    <w:qFormat/>
    <w:uiPriority w:val="0"/>
    <w:rPr>
      <w:color w:val="666666"/>
      <w:u w:val="none"/>
    </w:rPr>
  </w:style>
  <w:style w:type="character" w:styleId="24">
    <w:name w:val="HTML Code"/>
    <w:basedOn w:val="18"/>
    <w:qFormat/>
    <w:uiPriority w:val="0"/>
    <w:rPr>
      <w:rFonts w:ascii="Consolas" w:hAnsi="Consolas" w:eastAsia="Consolas" w:cs="Consolas"/>
      <w:color w:val="CA4440"/>
      <w:sz w:val="21"/>
      <w:szCs w:val="21"/>
      <w:shd w:val="clear" w:color="auto" w:fill="F9F2F4"/>
    </w:rPr>
  </w:style>
  <w:style w:type="character" w:styleId="25">
    <w:name w:val="annotation reference"/>
    <w:qFormat/>
    <w:uiPriority w:val="0"/>
    <w:rPr>
      <w:sz w:val="21"/>
      <w:szCs w:val="21"/>
    </w:rPr>
  </w:style>
  <w:style w:type="character" w:styleId="26">
    <w:name w:val="HTML Keyboard"/>
    <w:basedOn w:val="18"/>
    <w:qFormat/>
    <w:uiPriority w:val="0"/>
    <w:rPr>
      <w:rFonts w:hint="default" w:ascii="Consolas" w:hAnsi="Consolas" w:eastAsia="Consolas" w:cs="Consolas"/>
      <w:color w:val="FFFFFF"/>
      <w:sz w:val="21"/>
      <w:szCs w:val="21"/>
      <w:shd w:val="clear" w:color="auto" w:fill="333333"/>
    </w:rPr>
  </w:style>
  <w:style w:type="character" w:styleId="27">
    <w:name w:val="HTML Sample"/>
    <w:basedOn w:val="18"/>
    <w:qFormat/>
    <w:uiPriority w:val="0"/>
    <w:rPr>
      <w:rFonts w:hint="default" w:ascii="Consolas" w:hAnsi="Consolas" w:eastAsia="Consolas" w:cs="Consolas"/>
      <w:sz w:val="21"/>
      <w:szCs w:val="21"/>
    </w:rPr>
  </w:style>
  <w:style w:type="paragraph" w:customStyle="1" w:styleId="28">
    <w:name w:val="样式 标题 3 + (中文) 黑体 小四 非加粗 段前: 7.8 磅 段后: 0 磅 行距: 固定值 20 磅"/>
    <w:basedOn w:val="4"/>
    <w:qFormat/>
    <w:uiPriority w:val="0"/>
    <w:pPr>
      <w:spacing w:line="400" w:lineRule="exact"/>
    </w:pPr>
    <w:rPr>
      <w:rFonts w:eastAsia="黑体" w:cs="宋体"/>
      <w:b w:val="0"/>
      <w:kern w:val="2"/>
      <w:sz w:val="24"/>
      <w:szCs w:val="20"/>
    </w:rPr>
  </w:style>
  <w:style w:type="paragraph" w:customStyle="1" w:styleId="29">
    <w:name w:val="Fließtext"/>
    <w:basedOn w:val="1"/>
    <w:qFormat/>
    <w:uiPriority w:val="99"/>
    <w:pPr>
      <w:overflowPunct w:val="0"/>
      <w:autoSpaceDE w:val="0"/>
      <w:autoSpaceDN w:val="0"/>
      <w:adjustRightInd w:val="0"/>
      <w:textAlignment w:val="baseline"/>
    </w:pPr>
    <w:rPr>
      <w:kern w:val="28"/>
    </w:rPr>
  </w:style>
  <w:style w:type="character" w:customStyle="1" w:styleId="30">
    <w:name w:val="批注文字 Char"/>
    <w:link w:val="7"/>
    <w:qFormat/>
    <w:uiPriority w:val="0"/>
    <w:rPr>
      <w:rFonts w:ascii="Calibri" w:hAnsi="Calibri"/>
      <w:kern w:val="2"/>
      <w:sz w:val="21"/>
      <w:szCs w:val="24"/>
    </w:rPr>
  </w:style>
  <w:style w:type="character" w:customStyle="1" w:styleId="31">
    <w:name w:val="批注框文本 Char"/>
    <w:link w:val="11"/>
    <w:qFormat/>
    <w:uiPriority w:val="0"/>
    <w:rPr>
      <w:rFonts w:ascii="Calibri" w:hAnsi="Calibri"/>
      <w:kern w:val="2"/>
      <w:sz w:val="18"/>
      <w:szCs w:val="18"/>
    </w:rPr>
  </w:style>
  <w:style w:type="character" w:customStyle="1" w:styleId="32">
    <w:name w:val="批注主题 Char"/>
    <w:link w:val="14"/>
    <w:qFormat/>
    <w:uiPriority w:val="0"/>
    <w:rPr>
      <w:rFonts w:ascii="Calibri" w:hAnsi="Calibri"/>
      <w:b/>
      <w:bCs/>
      <w:kern w:val="2"/>
      <w:sz w:val="21"/>
      <w:szCs w:val="24"/>
    </w:rPr>
  </w:style>
  <w:style w:type="character" w:customStyle="1" w:styleId="33">
    <w:name w:val="label"/>
    <w:basedOn w:val="18"/>
    <w:qFormat/>
    <w:uiPriority w:val="0"/>
    <w:rPr>
      <w:color w:val="1AB394"/>
      <w:shd w:val="clear" w:color="auto" w:fill="FFFFFF"/>
    </w:rPr>
  </w:style>
  <w:style w:type="character" w:customStyle="1" w:styleId="34">
    <w:name w:val="label1"/>
    <w:basedOn w:val="18"/>
    <w:qFormat/>
    <w:uiPriority w:val="0"/>
    <w:rPr>
      <w:color w:val="1CC09F"/>
      <w:shd w:val="clear" w:color="auto" w:fill="FFFFFF"/>
    </w:rPr>
  </w:style>
  <w:style w:type="character" w:customStyle="1" w:styleId="35">
    <w:name w:val="label2"/>
    <w:basedOn w:val="18"/>
    <w:qFormat/>
    <w:uiPriority w:val="0"/>
  </w:style>
  <w:style w:type="character" w:customStyle="1" w:styleId="36">
    <w:name w:val="label3"/>
    <w:basedOn w:val="18"/>
    <w:qFormat/>
    <w:uiPriority w:val="0"/>
  </w:style>
  <w:style w:type="character" w:customStyle="1" w:styleId="37">
    <w:name w:val="navy"/>
    <w:basedOn w:val="18"/>
    <w:qFormat/>
    <w:uiPriority w:val="0"/>
    <w:rPr>
      <w:color w:val="1AB394"/>
    </w:rPr>
  </w:style>
  <w:style w:type="character" w:customStyle="1" w:styleId="38">
    <w:name w:val="active"/>
    <w:basedOn w:val="18"/>
    <w:qFormat/>
    <w:uiPriority w:val="0"/>
    <w:rPr>
      <w:shd w:val="clear" w:color="auto" w:fill="EC3535"/>
    </w:rPr>
  </w:style>
  <w:style w:type="character" w:customStyle="1" w:styleId="39">
    <w:name w:val="font11"/>
    <w:basedOn w:val="18"/>
    <w:qFormat/>
    <w:uiPriority w:val="0"/>
    <w:rPr>
      <w:rFonts w:hint="eastAsia" w:ascii="宋体" w:hAnsi="宋体" w:eastAsia="宋体" w:cs="宋体"/>
      <w:color w:val="000000"/>
      <w:sz w:val="24"/>
      <w:szCs w:val="24"/>
      <w:u w:val="none"/>
    </w:rPr>
  </w:style>
  <w:style w:type="character" w:customStyle="1" w:styleId="40">
    <w:name w:val="font31"/>
    <w:basedOn w:val="18"/>
    <w:qFormat/>
    <w:uiPriority w:val="0"/>
    <w:rPr>
      <w:rFonts w:hint="default" w:ascii="Calibri" w:hAnsi="Calibri" w:cs="Calibri"/>
      <w:color w:val="000000"/>
      <w:sz w:val="24"/>
      <w:szCs w:val="24"/>
      <w:u w:val="none"/>
    </w:rPr>
  </w:style>
  <w:style w:type="character" w:customStyle="1" w:styleId="41">
    <w:name w:val="font01"/>
    <w:basedOn w:val="18"/>
    <w:qFormat/>
    <w:uiPriority w:val="0"/>
    <w:rPr>
      <w:rFonts w:hint="eastAsia" w:ascii="宋体" w:hAnsi="宋体" w:eastAsia="宋体" w:cs="宋体"/>
      <w:color w:val="000000"/>
      <w:sz w:val="24"/>
      <w:szCs w:val="24"/>
      <w:u w:val="none"/>
    </w:rPr>
  </w:style>
  <w:style w:type="paragraph" w:customStyle="1" w:styleId="42">
    <w:name w:val="null3"/>
    <w:hidden/>
    <w:qFormat/>
    <w:uiPriority w:val="0"/>
    <w:rPr>
      <w:rFonts w:hint="eastAsia" w:asciiTheme="minorHAnsi" w:hAnsiTheme="minorHAnsi" w:eastAsiaTheme="minorEastAsia" w:cstheme="minorBidi"/>
      <w:lang w:val="en-US" w:eastAsia="zh-Hans"/>
    </w:rPr>
  </w:style>
  <w:style w:type="paragraph" w:customStyle="1" w:styleId="43">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Blockquote"/>
    <w:basedOn w:val="1"/>
    <w:qFormat/>
    <w:uiPriority w:val="0"/>
    <w:pPr>
      <w:autoSpaceDE w:val="0"/>
      <w:autoSpaceDN w:val="0"/>
      <w:spacing w:before="100" w:after="100" w:line="240" w:lineRule="auto"/>
      <w:ind w:left="360" w:right="360"/>
      <w:jc w:val="left"/>
      <w:textAlignment w:val="auto"/>
    </w:pPr>
    <w:rPr>
      <w:sz w:val="24"/>
    </w:rPr>
  </w:style>
  <w:style w:type="paragraph" w:customStyle="1" w:styleId="45">
    <w:name w:val="正文_0_1_0"/>
    <w:qFormat/>
    <w:uiPriority w:val="0"/>
    <w:pPr>
      <w:widowControl w:val="0"/>
      <w:jc w:val="both"/>
    </w:pPr>
    <w:rPr>
      <w:rFonts w:ascii="Calibri" w:hAnsi="Calibri" w:eastAsia="仿宋_GB2312" w:cs="Times New Roman"/>
      <w:kern w:val="2"/>
      <w:sz w:val="21"/>
      <w:szCs w:val="22"/>
      <w:lang w:val="en-US" w:eastAsia="en-US" w:bidi="ar-SA"/>
    </w:rPr>
  </w:style>
  <w:style w:type="paragraph" w:customStyle="1" w:styleId="46">
    <w:name w:val="表头文本"/>
    <w:basedOn w:val="1"/>
    <w:qFormat/>
    <w:uiPriority w:val="0"/>
    <w:pPr>
      <w:autoSpaceDE w:val="0"/>
      <w:autoSpaceDN w:val="0"/>
      <w:adjustRightInd w:val="0"/>
      <w:jc w:val="center"/>
    </w:pPr>
    <w:rPr>
      <w:b/>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62</Pages>
  <Words>3479</Words>
  <Characters>3848</Characters>
  <Lines>329</Lines>
  <Paragraphs>92</Paragraphs>
  <TotalTime>5</TotalTime>
  <ScaleCrop>false</ScaleCrop>
  <LinksUpToDate>false</LinksUpToDate>
  <CharactersWithSpaces>3872</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2020-08-04T00:46:00Z</dcterms:created>
  <dc:creator>57540</dc:creator>
  <cp:lastModifiedBy>Administrator</cp:lastModifiedBy>
  <cp:lastPrinted>2023-12-05T07:54:00Z</cp:lastPrinted>
  <dcterms:modified xsi:type="dcterms:W3CDTF">2026-10-19T08:23:22Z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4B51E0ABEFB140BFB5359B0620C53F27_13</vt:lpwstr>
  </property>
  <property fmtid="{D5CDD505-2E9C-101B-9397-08002B2CF9AE}" pid="4" name="KSOTemplateDocerSaveRecord">
    <vt:lpwstr>eyJoZGlkIjoiMTYwMWZhY2RiNzllM2ZiMGFkMzQ2MGI1MjNiNTkxYzgiLCJ1c2VySWQiOiI0NDcxMTI1ODQifQ==</vt:lpwstr>
  </property>
</Properties>
</file>